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3D4" w14:textId="2A024C53" w:rsidR="00DE2AD8" w:rsidRPr="00124881" w:rsidRDefault="000E293B" w:rsidP="00124881">
      <w:pPr>
        <w:pStyle w:val="Title"/>
        <w:pBdr>
          <w:bottom w:val="single" w:sz="4" w:space="1" w:color="auto"/>
        </w:pBdr>
        <w:rPr>
          <w:b/>
          <w:bCs/>
          <w:sz w:val="32"/>
          <w:szCs w:val="32"/>
          <w:lang w:val="fr-CA"/>
        </w:rPr>
      </w:pPr>
      <w:r w:rsidRPr="001D3BC9">
        <w:rPr>
          <w:b/>
          <w:bCs/>
          <w:sz w:val="32"/>
          <w:szCs w:val="32"/>
          <w:lang w:val="fr-CA"/>
        </w:rPr>
        <w:t xml:space="preserve">RAPPORT </w:t>
      </w:r>
      <w:r w:rsidR="001D3BC9" w:rsidRPr="001D3BC9">
        <w:rPr>
          <w:b/>
          <w:bCs/>
          <w:sz w:val="32"/>
          <w:szCs w:val="32"/>
          <w:lang w:val="fr-CA"/>
        </w:rPr>
        <w:t xml:space="preserve">des activités de l’ARGCE pour l’année 2024 </w:t>
      </w:r>
    </w:p>
    <w:p w14:paraId="22A00CE3" w14:textId="77777777" w:rsidR="000E293B" w:rsidRPr="000E293B" w:rsidRDefault="000E293B" w:rsidP="000E293B">
      <w:pPr>
        <w:rPr>
          <w:lang w:val="fr-CA"/>
        </w:rPr>
      </w:pPr>
    </w:p>
    <w:p w14:paraId="66ECFEC9" w14:textId="0A4D61C8" w:rsidR="001D3BC9" w:rsidRDefault="001D3BC9" w:rsidP="001D3BC9">
      <w:pPr>
        <w:rPr>
          <w:lang w:val="fr-CA"/>
        </w:rPr>
      </w:pPr>
      <w:r>
        <w:rPr>
          <w:lang w:val="fr-CA"/>
        </w:rPr>
        <w:t xml:space="preserve">En 2024, après les élections lors de l’Assemblée générale annuelle où tous les membres ont été </w:t>
      </w:r>
      <w:r w:rsidR="00F519C8">
        <w:rPr>
          <w:lang w:val="fr-CA"/>
        </w:rPr>
        <w:t>réélus</w:t>
      </w:r>
      <w:r>
        <w:rPr>
          <w:lang w:val="fr-CA"/>
        </w:rPr>
        <w:t xml:space="preserve">, il a été décidé en Conseil d’administration lors de la nomination des officiers, que les </w:t>
      </w:r>
      <w:r w:rsidR="00332F6D">
        <w:rPr>
          <w:lang w:val="fr-CA"/>
        </w:rPr>
        <w:t>personnes</w:t>
      </w:r>
      <w:r>
        <w:rPr>
          <w:lang w:val="fr-CA"/>
        </w:rPr>
        <w:t xml:space="preserve"> détenant les postes de président, trésorier et secrétaire auraient un mandat de deux ans</w:t>
      </w:r>
      <w:r w:rsidR="00332F6D">
        <w:rPr>
          <w:lang w:val="fr-CA"/>
        </w:rPr>
        <w:t xml:space="preserve"> pour se conformer à nos règlements généraux.</w:t>
      </w:r>
    </w:p>
    <w:p w14:paraId="1CB1F4D9" w14:textId="2ED5DF97" w:rsidR="00332F6D" w:rsidRDefault="00332F6D" w:rsidP="000E293B">
      <w:pPr>
        <w:numPr>
          <w:ilvl w:val="0"/>
          <w:numId w:val="11"/>
        </w:numPr>
        <w:rPr>
          <w:lang w:val="fr-CA"/>
        </w:rPr>
      </w:pPr>
      <w:r>
        <w:rPr>
          <w:lang w:val="fr-CA"/>
        </w:rPr>
        <w:t>Diane Barabé, présidente</w:t>
      </w:r>
    </w:p>
    <w:p w14:paraId="2CAE0EFD" w14:textId="720AF196" w:rsidR="008E77EB" w:rsidRDefault="00332F6D" w:rsidP="000E293B">
      <w:pPr>
        <w:numPr>
          <w:ilvl w:val="0"/>
          <w:numId w:val="11"/>
        </w:numPr>
        <w:rPr>
          <w:lang w:val="fr-CA"/>
        </w:rPr>
      </w:pPr>
      <w:r>
        <w:rPr>
          <w:lang w:val="fr-CA"/>
        </w:rPr>
        <w:t>C</w:t>
      </w:r>
      <w:r w:rsidR="000E293B" w:rsidRPr="000E293B">
        <w:rPr>
          <w:lang w:val="fr-CA"/>
        </w:rPr>
        <w:t xml:space="preserve">laire Beaubien, </w:t>
      </w:r>
      <w:r w:rsidR="00DE2AD8" w:rsidRPr="000E293B">
        <w:rPr>
          <w:lang w:val="fr-CA"/>
        </w:rPr>
        <w:t>vice-présidente</w:t>
      </w:r>
    </w:p>
    <w:p w14:paraId="203FB504" w14:textId="77777777" w:rsidR="008E77EB" w:rsidRDefault="000E293B" w:rsidP="000E293B">
      <w:pPr>
        <w:numPr>
          <w:ilvl w:val="0"/>
          <w:numId w:val="11"/>
        </w:numPr>
        <w:rPr>
          <w:lang w:val="fr-CA"/>
        </w:rPr>
      </w:pPr>
      <w:r w:rsidRPr="000E293B">
        <w:rPr>
          <w:lang w:val="fr-CA"/>
        </w:rPr>
        <w:t>Mathilde Denicourt, secrétaire</w:t>
      </w:r>
    </w:p>
    <w:p w14:paraId="2056CDC5" w14:textId="77777777" w:rsidR="008E3374" w:rsidRDefault="000E293B" w:rsidP="000E293B">
      <w:pPr>
        <w:numPr>
          <w:ilvl w:val="0"/>
          <w:numId w:val="11"/>
        </w:numPr>
        <w:rPr>
          <w:lang w:val="fr-CA"/>
        </w:rPr>
      </w:pPr>
      <w:r w:rsidRPr="000E293B">
        <w:rPr>
          <w:lang w:val="fr-CA"/>
        </w:rPr>
        <w:t xml:space="preserve">Richard Ravary, </w:t>
      </w:r>
      <w:r w:rsidR="00DE2AD8" w:rsidRPr="000E293B">
        <w:rPr>
          <w:lang w:val="fr-CA"/>
        </w:rPr>
        <w:t>trésorier</w:t>
      </w:r>
    </w:p>
    <w:p w14:paraId="0EDF553B" w14:textId="77777777" w:rsidR="008E3374" w:rsidRDefault="000E293B" w:rsidP="000E293B">
      <w:pPr>
        <w:numPr>
          <w:ilvl w:val="0"/>
          <w:numId w:val="11"/>
        </w:numPr>
        <w:rPr>
          <w:lang w:val="fr-CA"/>
        </w:rPr>
      </w:pPr>
      <w:r w:rsidRPr="000E293B">
        <w:rPr>
          <w:lang w:val="fr-CA"/>
        </w:rPr>
        <w:t>Sylvie Gagnon, administratrice</w:t>
      </w:r>
    </w:p>
    <w:p w14:paraId="1929841F" w14:textId="179A208C" w:rsidR="000E293B" w:rsidRPr="000E293B" w:rsidRDefault="000E293B" w:rsidP="000E293B">
      <w:pPr>
        <w:numPr>
          <w:ilvl w:val="0"/>
          <w:numId w:val="11"/>
        </w:numPr>
        <w:rPr>
          <w:lang w:val="fr-CA"/>
        </w:rPr>
      </w:pPr>
      <w:r w:rsidRPr="000E293B">
        <w:rPr>
          <w:lang w:val="fr-CA"/>
        </w:rPr>
        <w:t xml:space="preserve">Réal Chartier, administrateur </w:t>
      </w:r>
    </w:p>
    <w:p w14:paraId="6EEE1994" w14:textId="31649297" w:rsidR="001F0336" w:rsidRDefault="001F0336">
      <w:pPr>
        <w:rPr>
          <w:lang w:val="fr-CA"/>
        </w:rPr>
      </w:pPr>
    </w:p>
    <w:p w14:paraId="7A587BB3" w14:textId="3692DEA2" w:rsidR="00C91F4C" w:rsidRDefault="00C91F4C">
      <w:pPr>
        <w:rPr>
          <w:lang w:val="fr-CA"/>
        </w:rPr>
      </w:pPr>
      <w:r>
        <w:rPr>
          <w:lang w:val="fr-CA"/>
        </w:rPr>
        <w:t>Le Conseil s’est réuni à trois reprises en 2024.</w:t>
      </w:r>
    </w:p>
    <w:p w14:paraId="3B73B336" w14:textId="60AEE798" w:rsidR="00C91F4C" w:rsidRDefault="00C91F4C">
      <w:pPr>
        <w:rPr>
          <w:lang w:val="fr-CA"/>
        </w:rPr>
      </w:pPr>
    </w:p>
    <w:p w14:paraId="30F7AF46" w14:textId="38F42EC2" w:rsidR="00C91F4C" w:rsidRDefault="00C91F4C">
      <w:pPr>
        <w:rPr>
          <w:lang w:val="fr-CA"/>
        </w:rPr>
      </w:pPr>
      <w:r>
        <w:rPr>
          <w:lang w:val="fr-CA"/>
        </w:rPr>
        <w:t xml:space="preserve">Nos efforts durant l’année ont porté majoritairement sur nos tournois et la migration vers </w:t>
      </w:r>
      <w:r w:rsidR="009A267B">
        <w:rPr>
          <w:lang w:val="fr-CA"/>
        </w:rPr>
        <w:t xml:space="preserve">la </w:t>
      </w:r>
      <w:r w:rsidR="00CC4A15">
        <w:rPr>
          <w:lang w:val="fr-CA"/>
        </w:rPr>
        <w:t xml:space="preserve">plateforme </w:t>
      </w:r>
      <w:r>
        <w:rPr>
          <w:lang w:val="fr-CA"/>
        </w:rPr>
        <w:t>Golf Genius pour nos tournois féminins et masculins.</w:t>
      </w:r>
      <w:r w:rsidR="00A002CD">
        <w:rPr>
          <w:lang w:val="fr-CA"/>
        </w:rPr>
        <w:t xml:space="preserve"> </w:t>
      </w:r>
      <w:r w:rsidR="00D3701A">
        <w:rPr>
          <w:lang w:val="fr-CA"/>
        </w:rPr>
        <w:t xml:space="preserve">Cette façon de faire était </w:t>
      </w:r>
      <w:r w:rsidR="002C27CE">
        <w:rPr>
          <w:lang w:val="fr-CA"/>
        </w:rPr>
        <w:t>déjà en place pour nos tournois juniors</w:t>
      </w:r>
    </w:p>
    <w:p w14:paraId="106E6341" w14:textId="75E25D5F" w:rsidR="00C91F4C" w:rsidRDefault="00C91F4C">
      <w:pPr>
        <w:rPr>
          <w:lang w:val="fr-CA"/>
        </w:rPr>
      </w:pPr>
    </w:p>
    <w:p w14:paraId="14048EE1" w14:textId="2B11E791" w:rsidR="009A267B" w:rsidRPr="009A267B" w:rsidRDefault="00E84098" w:rsidP="00CC4A15">
      <w:pPr>
        <w:rPr>
          <w:rFonts w:cs="Arial"/>
          <w:b/>
          <w:bCs/>
          <w:sz w:val="24"/>
          <w:lang w:val="fr-CA"/>
        </w:rPr>
      </w:pPr>
      <w:r w:rsidRPr="009A267B">
        <w:rPr>
          <w:rFonts w:cs="Arial"/>
          <w:b/>
          <w:bCs/>
          <w:sz w:val="24"/>
          <w:lang w:val="fr-CA"/>
        </w:rPr>
        <w:t>GOLF GENIUS</w:t>
      </w:r>
      <w:r>
        <w:rPr>
          <w:rFonts w:cs="Arial"/>
          <w:b/>
          <w:bCs/>
          <w:sz w:val="24"/>
          <w:lang w:val="fr-CA"/>
        </w:rPr>
        <w:t xml:space="preserve"> ET NOS INSCRIPTIONS</w:t>
      </w:r>
    </w:p>
    <w:p w14:paraId="7C3AD249" w14:textId="3ED35680" w:rsidR="00CC4A15" w:rsidRDefault="008E3374" w:rsidP="00472B44">
      <w:pPr>
        <w:ind w:left="720"/>
        <w:rPr>
          <w:lang w:val="fr-CA"/>
        </w:rPr>
      </w:pPr>
      <w:r>
        <w:rPr>
          <w:lang w:val="fr-CA"/>
        </w:rPr>
        <w:t xml:space="preserve">Beaucoup de temps et d’énergie de part et d’autre ont été consacré à la migration de nos inscriptions vers la plateforme Golf Genius. </w:t>
      </w:r>
      <w:r w:rsidR="00CC4A15" w:rsidRPr="00CC4A15">
        <w:rPr>
          <w:lang w:val="fr-CA"/>
        </w:rPr>
        <w:t xml:space="preserve">La nouvelle procédure d’inscription a possiblement nuit à la participation </w:t>
      </w:r>
      <w:r w:rsidR="00CC4A15">
        <w:rPr>
          <w:lang w:val="fr-CA"/>
        </w:rPr>
        <w:t>aux tournois amateurs masculins et féminins</w:t>
      </w:r>
      <w:r w:rsidR="00472B44">
        <w:rPr>
          <w:lang w:val="fr-CA"/>
        </w:rPr>
        <w:t>,</w:t>
      </w:r>
      <w:r w:rsidR="00CC4A15">
        <w:rPr>
          <w:lang w:val="fr-CA"/>
        </w:rPr>
        <w:t xml:space="preserve"> </w:t>
      </w:r>
      <w:r w:rsidR="00CC4A15" w:rsidRPr="00CC4A15">
        <w:rPr>
          <w:lang w:val="fr-CA"/>
        </w:rPr>
        <w:t>malgré les efforts de</w:t>
      </w:r>
      <w:r w:rsidR="009A267B">
        <w:rPr>
          <w:lang w:val="fr-CA"/>
        </w:rPr>
        <w:t>s</w:t>
      </w:r>
      <w:r w:rsidR="00CC4A15" w:rsidRPr="00CC4A15">
        <w:rPr>
          <w:lang w:val="fr-CA"/>
        </w:rPr>
        <w:t xml:space="preserve"> responsables de</w:t>
      </w:r>
      <w:r w:rsidR="00332F6D">
        <w:rPr>
          <w:lang w:val="fr-CA"/>
        </w:rPr>
        <w:t xml:space="preserve"> </w:t>
      </w:r>
      <w:r w:rsidR="00CC4A15" w:rsidRPr="00CC4A15">
        <w:rPr>
          <w:lang w:val="fr-CA"/>
        </w:rPr>
        <w:t xml:space="preserve">tournois, des </w:t>
      </w:r>
      <w:r>
        <w:rPr>
          <w:lang w:val="fr-CA"/>
        </w:rPr>
        <w:t>c</w:t>
      </w:r>
      <w:r w:rsidR="00CC4A15" w:rsidRPr="00CC4A15">
        <w:rPr>
          <w:lang w:val="fr-CA"/>
        </w:rPr>
        <w:t xml:space="preserve">apitaines </w:t>
      </w:r>
      <w:r>
        <w:rPr>
          <w:lang w:val="fr-CA"/>
        </w:rPr>
        <w:t xml:space="preserve">de clubs </w:t>
      </w:r>
      <w:r w:rsidR="00CC4A15" w:rsidRPr="00CC4A15">
        <w:rPr>
          <w:lang w:val="fr-CA"/>
        </w:rPr>
        <w:t xml:space="preserve">et </w:t>
      </w:r>
      <w:r>
        <w:rPr>
          <w:lang w:val="fr-CA"/>
        </w:rPr>
        <w:t xml:space="preserve">surtout </w:t>
      </w:r>
      <w:r w:rsidR="00CC4A15" w:rsidRPr="00CC4A15">
        <w:rPr>
          <w:lang w:val="fr-CA"/>
        </w:rPr>
        <w:t>des représentantes de Golf Québec</w:t>
      </w:r>
      <w:r>
        <w:rPr>
          <w:lang w:val="fr-CA"/>
        </w:rPr>
        <w:t xml:space="preserve"> qui nous ont continuellement soutenus tout au long du processus</w:t>
      </w:r>
      <w:r w:rsidR="00332F6D">
        <w:rPr>
          <w:lang w:val="fr-CA"/>
        </w:rPr>
        <w:t>.</w:t>
      </w:r>
    </w:p>
    <w:p w14:paraId="08CD0A83" w14:textId="77777777" w:rsidR="00CC4A15" w:rsidRPr="00CC4A15" w:rsidRDefault="00CC4A15" w:rsidP="009A267B">
      <w:pPr>
        <w:ind w:left="720"/>
        <w:rPr>
          <w:rFonts w:cs="Arial"/>
          <w:sz w:val="24"/>
          <w:lang w:val="fr-CA"/>
        </w:rPr>
      </w:pPr>
    </w:p>
    <w:p w14:paraId="3F8DA1A8" w14:textId="6156715A" w:rsidR="00472B44" w:rsidRPr="00472B44" w:rsidRDefault="00472B44" w:rsidP="00472B44">
      <w:pPr>
        <w:ind w:left="720"/>
        <w:rPr>
          <w:rFonts w:cs="Arial"/>
          <w:szCs w:val="22"/>
          <w:lang w:val="fr-CA"/>
        </w:rPr>
      </w:pPr>
      <w:r w:rsidRPr="00472B44">
        <w:rPr>
          <w:szCs w:val="22"/>
          <w:lang w:val="fr-CA"/>
        </w:rPr>
        <w:t xml:space="preserve">Comme la très grande majorité de nos joueurs et joueuses ont maintenant complété l’étape de la pré-inscription, nous </w:t>
      </w:r>
      <w:r w:rsidR="00CC4A15" w:rsidRPr="00472B44">
        <w:rPr>
          <w:szCs w:val="22"/>
          <w:lang w:val="fr-CA"/>
        </w:rPr>
        <w:t>sommes confiants que les inscriptions aux activités de 2025 s</w:t>
      </w:r>
      <w:r w:rsidRPr="00472B44">
        <w:rPr>
          <w:szCs w:val="22"/>
          <w:lang w:val="fr-CA"/>
        </w:rPr>
        <w:t>e</w:t>
      </w:r>
      <w:r w:rsidR="00CC4A15" w:rsidRPr="00472B44">
        <w:rPr>
          <w:szCs w:val="22"/>
          <w:lang w:val="fr-CA"/>
        </w:rPr>
        <w:t>ront plus faciles</w:t>
      </w:r>
      <w:r w:rsidR="009A267B" w:rsidRPr="00472B44">
        <w:rPr>
          <w:szCs w:val="22"/>
          <w:lang w:val="fr-CA"/>
        </w:rPr>
        <w:t>.</w:t>
      </w:r>
      <w:r w:rsidRPr="00472B44">
        <w:rPr>
          <w:szCs w:val="22"/>
          <w:lang w:val="fr-CA"/>
        </w:rPr>
        <w:t xml:space="preserve"> </w:t>
      </w:r>
      <w:r w:rsidRPr="00472B44">
        <w:rPr>
          <w:rFonts w:cs="Arial"/>
          <w:szCs w:val="22"/>
          <w:lang w:val="fr-CA"/>
        </w:rPr>
        <w:t xml:space="preserve">Par ailleurs, </w:t>
      </w:r>
      <w:r>
        <w:rPr>
          <w:rFonts w:cs="Arial"/>
          <w:szCs w:val="22"/>
          <w:lang w:val="fr-CA"/>
        </w:rPr>
        <w:t>pour simplifier les inscriptions aux</w:t>
      </w:r>
      <w:r w:rsidR="00597C90">
        <w:rPr>
          <w:rFonts w:cs="Arial"/>
          <w:szCs w:val="22"/>
          <w:lang w:val="fr-CA"/>
        </w:rPr>
        <w:t xml:space="preserve"> compétitions, </w:t>
      </w:r>
      <w:r w:rsidRPr="00472B44">
        <w:rPr>
          <w:rFonts w:cs="Arial"/>
          <w:szCs w:val="22"/>
          <w:lang w:val="fr-CA"/>
        </w:rPr>
        <w:t>Golf Qc a conçu de</w:t>
      </w:r>
      <w:r w:rsidRPr="00472B44">
        <w:rPr>
          <w:szCs w:val="22"/>
          <w:lang w:val="fr-CA"/>
        </w:rPr>
        <w:t xml:space="preserve"> </w:t>
      </w:r>
      <w:r w:rsidRPr="00597C90">
        <w:rPr>
          <w:rFonts w:cs="Arial"/>
          <w:szCs w:val="22"/>
          <w:lang w:val="fr-CA"/>
        </w:rPr>
        <w:t>nouveaux documents de support pour les inscriptions ainsi qu’</w:t>
      </w:r>
      <w:r w:rsidR="00332F6D">
        <w:rPr>
          <w:rFonts w:cs="Arial"/>
          <w:szCs w:val="22"/>
          <w:lang w:val="fr-CA"/>
        </w:rPr>
        <w:t>u</w:t>
      </w:r>
      <w:r w:rsidRPr="00597C90">
        <w:rPr>
          <w:rFonts w:cs="Arial"/>
          <w:szCs w:val="22"/>
          <w:lang w:val="fr-CA"/>
        </w:rPr>
        <w:t>ne vidéo explicative et détaillée sur la chaîne YouTube de Golf Québec</w:t>
      </w:r>
      <w:r w:rsidR="00332F6D">
        <w:rPr>
          <w:rFonts w:cs="Arial"/>
          <w:szCs w:val="22"/>
          <w:lang w:val="fr-CA"/>
        </w:rPr>
        <w:t xml:space="preserve"> </w:t>
      </w:r>
      <w:r w:rsidRPr="00597C90">
        <w:rPr>
          <w:rFonts w:cs="Arial"/>
          <w:szCs w:val="22"/>
          <w:lang w:val="fr-CA"/>
        </w:rPr>
        <w:t xml:space="preserve">: </w:t>
      </w:r>
      <w:hyperlink r:id="rId7" w:tgtFrame="_blank" w:history="1">
        <w:r w:rsidRPr="00597C90">
          <w:rPr>
            <w:rStyle w:val="Hyperlink"/>
            <w:rFonts w:cs="Arial"/>
            <w:szCs w:val="22"/>
            <w:lang w:val="fr-CA"/>
          </w:rPr>
          <w:t>Vidéo - Inscription régionale individuelle ou en équipe</w:t>
        </w:r>
      </w:hyperlink>
      <w:r w:rsidRPr="00597C90">
        <w:rPr>
          <w:rFonts w:cs="Arial"/>
          <w:color w:val="501549"/>
          <w:szCs w:val="22"/>
          <w:lang w:val="fr-CA"/>
        </w:rPr>
        <w:t>.</w:t>
      </w:r>
      <w:r w:rsidRPr="00472B44">
        <w:rPr>
          <w:szCs w:val="22"/>
          <w:lang w:val="fr-CA"/>
        </w:rPr>
        <w:t xml:space="preserve"> </w:t>
      </w:r>
      <w:r w:rsidR="00F519C8">
        <w:rPr>
          <w:szCs w:val="22"/>
          <w:lang w:val="fr-CA"/>
        </w:rPr>
        <w:t>Il sera possible d’accéder à ces outils de support à même le site de l’ARGCE.</w:t>
      </w:r>
    </w:p>
    <w:p w14:paraId="19584962" w14:textId="77777777" w:rsidR="00CC4A15" w:rsidRDefault="00CC4A15">
      <w:pPr>
        <w:rPr>
          <w:lang w:val="fr-CA"/>
        </w:rPr>
      </w:pPr>
    </w:p>
    <w:p w14:paraId="6B652D80" w14:textId="6AA9A387" w:rsidR="001B2982" w:rsidRDefault="00332F6D" w:rsidP="00637AAF">
      <w:pPr>
        <w:ind w:left="720"/>
        <w:rPr>
          <w:lang w:val="fr-CA"/>
        </w:rPr>
      </w:pPr>
      <w:r>
        <w:rPr>
          <w:lang w:val="fr-CA"/>
        </w:rPr>
        <w:t xml:space="preserve">Golf Genius répond également à nos besoins pour le suivi financier </w:t>
      </w:r>
      <w:r w:rsidR="008775FC">
        <w:rPr>
          <w:lang w:val="fr-CA"/>
        </w:rPr>
        <w:t>de</w:t>
      </w:r>
      <w:r w:rsidR="001B2982">
        <w:rPr>
          <w:lang w:val="fr-CA"/>
        </w:rPr>
        <w:t xml:space="preserve"> nos tournois</w:t>
      </w:r>
      <w:r>
        <w:rPr>
          <w:lang w:val="fr-CA"/>
        </w:rPr>
        <w:t>, malgré l</w:t>
      </w:r>
      <w:r w:rsidR="000711C4">
        <w:rPr>
          <w:lang w:val="fr-CA"/>
        </w:rPr>
        <w:t xml:space="preserve">es quelques contestations de paiement </w:t>
      </w:r>
      <w:r w:rsidR="008E3374">
        <w:rPr>
          <w:lang w:val="fr-CA"/>
        </w:rPr>
        <w:t>enregistrées en cours d’année</w:t>
      </w:r>
      <w:r w:rsidR="00637AAF">
        <w:rPr>
          <w:lang w:val="fr-CA"/>
        </w:rPr>
        <w:t xml:space="preserve">. Ces refus de paiements nous occasionnent des frais de 15 $ non remboursables. </w:t>
      </w:r>
      <w:r w:rsidR="00637AAF" w:rsidRPr="00637AAF">
        <w:rPr>
          <w:lang w:val="fr-CA"/>
        </w:rPr>
        <w:t xml:space="preserve"> </w:t>
      </w:r>
      <w:r w:rsidR="00637AAF">
        <w:rPr>
          <w:lang w:val="fr-CA"/>
        </w:rPr>
        <w:t>Pour essayer de corriger ceci, le nom de ARGCE – Golf apparaîtra dorénavant pour les transactions. Par ailleurs, nous allons</w:t>
      </w:r>
      <w:r w:rsidR="00637AAF" w:rsidRPr="00637AAF">
        <w:rPr>
          <w:lang w:val="fr-CA"/>
        </w:rPr>
        <w:t xml:space="preserve"> demander aux responsables de tournois d'en </w:t>
      </w:r>
      <w:r w:rsidR="00637AAF">
        <w:rPr>
          <w:lang w:val="fr-CA"/>
        </w:rPr>
        <w:t xml:space="preserve">informer </w:t>
      </w:r>
      <w:r w:rsidR="00637AAF" w:rsidRPr="00637AAF">
        <w:rPr>
          <w:lang w:val="fr-CA"/>
        </w:rPr>
        <w:t>leurs golfeurs.</w:t>
      </w:r>
    </w:p>
    <w:p w14:paraId="56178D16" w14:textId="77777777" w:rsidR="009A267B" w:rsidRDefault="00B2401F" w:rsidP="008E3374">
      <w:pPr>
        <w:pStyle w:val="m-2015035128601145263xmsonormal"/>
        <w:spacing w:after="0" w:afterAutospacing="0"/>
        <w:rPr>
          <w:rFonts w:ascii="Arial" w:hAnsi="Arial" w:cs="Arial"/>
          <w:b/>
          <w:bCs/>
          <w:szCs w:val="22"/>
          <w:lang w:val="fr-CA"/>
        </w:rPr>
      </w:pPr>
      <w:r>
        <w:rPr>
          <w:rFonts w:ascii="Arial" w:hAnsi="Arial" w:cs="Arial"/>
          <w:b/>
          <w:bCs/>
          <w:szCs w:val="22"/>
          <w:lang w:val="fr-CA"/>
        </w:rPr>
        <w:t>TOURNOI BÉNÉFICE DE GOLF QC</w:t>
      </w:r>
      <w:r w:rsidR="00E37BE7">
        <w:rPr>
          <w:rFonts w:ascii="Arial" w:hAnsi="Arial" w:cs="Arial"/>
          <w:b/>
          <w:bCs/>
          <w:szCs w:val="22"/>
          <w:lang w:val="fr-CA"/>
        </w:rPr>
        <w:t xml:space="preserve"> – Ki-8-Eb</w:t>
      </w:r>
    </w:p>
    <w:p w14:paraId="68D0BDC7" w14:textId="0840D63B" w:rsidR="00B2401F" w:rsidRDefault="00E37BE7" w:rsidP="00332F6D">
      <w:pPr>
        <w:pStyle w:val="m-2015035128601145263xmsonormal"/>
        <w:spacing w:before="0" w:beforeAutospacing="0"/>
        <w:ind w:left="720"/>
        <w:rPr>
          <w:rFonts w:ascii="Arial" w:hAnsi="Arial" w:cs="Arial"/>
          <w:szCs w:val="22"/>
          <w:lang w:val="fr-CA"/>
        </w:rPr>
      </w:pPr>
      <w:r>
        <w:rPr>
          <w:rFonts w:ascii="Arial" w:hAnsi="Arial" w:cs="Arial"/>
          <w:szCs w:val="22"/>
          <w:lang w:val="fr-CA"/>
        </w:rPr>
        <w:t xml:space="preserve">Nous avons participé au tournoi bénéfice </w:t>
      </w:r>
      <w:r w:rsidR="008F1E47">
        <w:rPr>
          <w:rFonts w:ascii="Arial" w:hAnsi="Arial" w:cs="Arial"/>
          <w:szCs w:val="22"/>
          <w:lang w:val="fr-CA"/>
        </w:rPr>
        <w:t>de Golf Québec</w:t>
      </w:r>
      <w:r w:rsidR="00332F6D">
        <w:rPr>
          <w:rFonts w:ascii="Arial" w:hAnsi="Arial" w:cs="Arial"/>
          <w:szCs w:val="22"/>
          <w:lang w:val="fr-CA"/>
        </w:rPr>
        <w:t xml:space="preserve"> à l’automne. </w:t>
      </w:r>
      <w:r w:rsidR="008F1E47">
        <w:rPr>
          <w:rFonts w:ascii="Arial" w:hAnsi="Arial" w:cs="Arial"/>
          <w:szCs w:val="22"/>
          <w:lang w:val="fr-CA"/>
        </w:rPr>
        <w:t xml:space="preserve"> Lors du tournoi, Golf Qc a rendu hommage à Jocelyne Bourassa – qui a remporté (1973) le championnat inaugural de la Canadienne – aujourd’hui l’Omnium féminin </w:t>
      </w:r>
      <w:r w:rsidR="00594474" w:rsidRPr="00594474">
        <w:rPr>
          <w:rFonts w:ascii="Arial" w:hAnsi="Arial" w:cs="Arial"/>
          <w:szCs w:val="22"/>
          <w:lang w:val="fr-CA"/>
        </w:rPr>
        <w:t>Canadien Pacifique Kansas City (CPKC</w:t>
      </w:r>
      <w:r w:rsidR="00594474">
        <w:rPr>
          <w:rFonts w:ascii="Arial" w:hAnsi="Arial" w:cs="Arial"/>
          <w:szCs w:val="22"/>
          <w:lang w:val="fr-CA"/>
        </w:rPr>
        <w:t>).  Une plaque commémorative permanente a été installée entre le 13</w:t>
      </w:r>
      <w:r w:rsidR="009A267B">
        <w:rPr>
          <w:rFonts w:ascii="Arial" w:hAnsi="Arial" w:cs="Arial"/>
          <w:szCs w:val="22"/>
          <w:lang w:val="fr-CA"/>
        </w:rPr>
        <w:t>e</w:t>
      </w:r>
      <w:r w:rsidR="00594474">
        <w:rPr>
          <w:rFonts w:ascii="Arial" w:hAnsi="Arial" w:cs="Arial"/>
          <w:szCs w:val="22"/>
          <w:lang w:val="fr-CA"/>
        </w:rPr>
        <w:t xml:space="preserve"> et 10e départs. </w:t>
      </w:r>
    </w:p>
    <w:p w14:paraId="0F56B6B1" w14:textId="77777777" w:rsidR="009A267B" w:rsidRDefault="00594474" w:rsidP="008E3374">
      <w:pPr>
        <w:pStyle w:val="m-2015035128601145263xmsonormal"/>
        <w:spacing w:after="0" w:afterAutospacing="0"/>
        <w:rPr>
          <w:rFonts w:ascii="Arial" w:hAnsi="Arial" w:cs="Arial"/>
          <w:b/>
          <w:bCs/>
          <w:szCs w:val="22"/>
          <w:lang w:val="fr-CA"/>
        </w:rPr>
      </w:pPr>
      <w:r w:rsidRPr="00594474">
        <w:rPr>
          <w:rFonts w:ascii="Arial" w:hAnsi="Arial" w:cs="Arial"/>
          <w:b/>
          <w:bCs/>
          <w:szCs w:val="22"/>
          <w:lang w:val="fr-CA"/>
        </w:rPr>
        <w:t>CAR – CONSEIL DES ASSOCIATIONS RÉGIONALES</w:t>
      </w:r>
    </w:p>
    <w:p w14:paraId="33C55EAD" w14:textId="0AF073CE" w:rsidR="00594474" w:rsidRDefault="009A267B" w:rsidP="00E84098">
      <w:pPr>
        <w:pStyle w:val="m-2015035128601145263xmsonormal"/>
        <w:spacing w:before="0" w:beforeAutospacing="0"/>
        <w:ind w:left="720"/>
        <w:rPr>
          <w:rFonts w:ascii="Arial" w:hAnsi="Arial" w:cs="Arial"/>
          <w:szCs w:val="22"/>
          <w:lang w:val="fr-CA"/>
        </w:rPr>
      </w:pPr>
      <w:r>
        <w:rPr>
          <w:rFonts w:ascii="Arial" w:hAnsi="Arial" w:cs="Arial"/>
          <w:szCs w:val="22"/>
          <w:lang w:val="fr-CA"/>
        </w:rPr>
        <w:t xml:space="preserve">En 2024, </w:t>
      </w:r>
      <w:r w:rsidR="00597C90">
        <w:rPr>
          <w:rFonts w:ascii="Arial" w:hAnsi="Arial" w:cs="Arial"/>
          <w:szCs w:val="22"/>
          <w:lang w:val="fr-CA"/>
        </w:rPr>
        <w:t xml:space="preserve">il a été décidé de remplacer </w:t>
      </w:r>
      <w:r>
        <w:rPr>
          <w:rFonts w:ascii="Arial" w:hAnsi="Arial" w:cs="Arial"/>
          <w:szCs w:val="22"/>
          <w:lang w:val="fr-CA"/>
        </w:rPr>
        <w:t>l</w:t>
      </w:r>
      <w:r w:rsidR="00594474">
        <w:rPr>
          <w:rFonts w:ascii="Arial" w:hAnsi="Arial" w:cs="Arial"/>
          <w:szCs w:val="22"/>
          <w:lang w:val="fr-CA"/>
        </w:rPr>
        <w:t xml:space="preserve">es rapports mensuels par 4 rencontres annuelles en visioconférence. Cette nouvelle façon de faire se veut une méthode plus flexible et </w:t>
      </w:r>
      <w:r w:rsidR="00594474">
        <w:rPr>
          <w:rFonts w:ascii="Arial" w:hAnsi="Arial" w:cs="Arial"/>
          <w:szCs w:val="22"/>
          <w:lang w:val="fr-CA"/>
        </w:rPr>
        <w:lastRenderedPageBreak/>
        <w:t>plus dynamique que la production de rapports régionaux</w:t>
      </w:r>
      <w:r w:rsidR="00E84098">
        <w:rPr>
          <w:rFonts w:ascii="Arial" w:hAnsi="Arial" w:cs="Arial"/>
          <w:szCs w:val="22"/>
          <w:lang w:val="fr-CA"/>
        </w:rPr>
        <w:t xml:space="preserve"> et donne l’opportunité d’échanger avec les représentants des autres associations régionales.</w:t>
      </w:r>
    </w:p>
    <w:p w14:paraId="2326DB2B" w14:textId="626BEAF6" w:rsidR="009A267B" w:rsidRDefault="00E84098" w:rsidP="008E3374">
      <w:pPr>
        <w:rPr>
          <w:rFonts w:cs="Arial"/>
          <w:b/>
          <w:bCs/>
          <w:szCs w:val="22"/>
          <w:lang w:val="fr-CA"/>
        </w:rPr>
      </w:pPr>
      <w:r>
        <w:rPr>
          <w:rFonts w:cs="Arial"/>
          <w:b/>
          <w:bCs/>
          <w:szCs w:val="22"/>
          <w:lang w:val="fr-CA"/>
        </w:rPr>
        <w:t>SYLVIE GAGNON – BÉNÉVOLE DE L’ANNÉE 2024</w:t>
      </w:r>
    </w:p>
    <w:p w14:paraId="2030A472" w14:textId="0060F86B" w:rsidR="007758CF" w:rsidRDefault="007758CF" w:rsidP="008E3374">
      <w:pPr>
        <w:ind w:left="720"/>
        <w:rPr>
          <w:lang w:val="fr-CA"/>
        </w:rPr>
      </w:pPr>
      <w:r w:rsidRPr="007758CF">
        <w:rPr>
          <w:rFonts w:cs="Arial"/>
          <w:szCs w:val="22"/>
          <w:lang w:val="fr-CA"/>
        </w:rPr>
        <w:t>L’ARGCE a nommé, à titre posthume, Sylvie Gagnon, bénévole de l’année 2024.</w:t>
      </w:r>
      <w:r w:rsidRPr="007758CF">
        <w:rPr>
          <w:rFonts w:cs="Arial"/>
          <w:b/>
          <w:bCs/>
          <w:szCs w:val="22"/>
          <w:lang w:val="fr-CA"/>
        </w:rPr>
        <w:t xml:space="preserve"> </w:t>
      </w:r>
    </w:p>
    <w:p w14:paraId="05215B3F" w14:textId="77777777" w:rsidR="007758CF" w:rsidRDefault="007758CF" w:rsidP="007758CF">
      <w:pPr>
        <w:rPr>
          <w:lang w:val="fr-CA"/>
        </w:rPr>
      </w:pPr>
    </w:p>
    <w:p w14:paraId="6BB62B58" w14:textId="77777777" w:rsidR="007758CF" w:rsidRPr="00BA66A9" w:rsidRDefault="007758CF" w:rsidP="009A267B">
      <w:pPr>
        <w:ind w:left="720"/>
        <w:rPr>
          <w:szCs w:val="22"/>
          <w:lang w:val="fr-CA"/>
        </w:rPr>
      </w:pPr>
      <w:r w:rsidRPr="00BA66A9">
        <w:rPr>
          <w:szCs w:val="22"/>
          <w:lang w:val="fr-CA"/>
        </w:rPr>
        <w:t xml:space="preserve">Bénévole engagée depuis 2003, Sylvie était une golfeuse passionnée et dévouée à promouvoir le golf féminin non seulement à son club, mais également dans la région. </w:t>
      </w:r>
    </w:p>
    <w:p w14:paraId="46A9B64B" w14:textId="77777777" w:rsidR="007758CF" w:rsidRPr="00BA66A9" w:rsidRDefault="007758CF" w:rsidP="009A267B">
      <w:pPr>
        <w:ind w:left="720"/>
        <w:rPr>
          <w:szCs w:val="22"/>
          <w:lang w:val="fr-CA"/>
        </w:rPr>
      </w:pPr>
    </w:p>
    <w:p w14:paraId="77C347AA" w14:textId="3BF4725F" w:rsidR="007758CF" w:rsidRPr="00BA66A9" w:rsidRDefault="007758CF" w:rsidP="009A267B">
      <w:pPr>
        <w:ind w:left="720"/>
        <w:rPr>
          <w:szCs w:val="22"/>
          <w:lang w:val="fr-CA"/>
        </w:rPr>
      </w:pPr>
      <w:r w:rsidRPr="00BA66A9">
        <w:rPr>
          <w:szCs w:val="22"/>
          <w:lang w:val="fr-CA"/>
        </w:rPr>
        <w:t xml:space="preserve">Elle a été </w:t>
      </w:r>
      <w:r w:rsidR="00773969" w:rsidRPr="00BA66A9">
        <w:rPr>
          <w:szCs w:val="22"/>
          <w:lang w:val="fr-CA"/>
        </w:rPr>
        <w:t xml:space="preserve">pendant </w:t>
      </w:r>
      <w:r w:rsidRPr="00BA66A9">
        <w:rPr>
          <w:szCs w:val="22"/>
          <w:lang w:val="fr-CA"/>
        </w:rPr>
        <w:t>de nombreuses années capitaine à son club de golf Heriot et encourageait les dames à participer aux tournois. Au niveau régional, elle a d’abord été membre du comité féminin de l’Association régionale des Cantons de l’Est et elle a, par la suite, pris la relève en assumant le rôle de responsable des tournois de la section féminine</w:t>
      </w:r>
      <w:r w:rsidR="00773969" w:rsidRPr="00BA66A9">
        <w:rPr>
          <w:szCs w:val="22"/>
          <w:lang w:val="fr-CA"/>
        </w:rPr>
        <w:t xml:space="preserve"> et</w:t>
      </w:r>
      <w:r w:rsidRPr="00BA66A9">
        <w:rPr>
          <w:szCs w:val="22"/>
          <w:lang w:val="fr-CA"/>
        </w:rPr>
        <w:t xml:space="preserve"> des compétitions Interclubs féminines. Au niveau provincial, Sylvie a été impliquée pendant une quinzaine d’années à l’évaluation des parcours. </w:t>
      </w:r>
    </w:p>
    <w:p w14:paraId="19A13E98" w14:textId="77777777" w:rsidR="007758CF" w:rsidRPr="00BA66A9" w:rsidRDefault="007758CF" w:rsidP="009A267B">
      <w:pPr>
        <w:ind w:left="720"/>
        <w:rPr>
          <w:szCs w:val="22"/>
          <w:lang w:val="fr-CA"/>
        </w:rPr>
      </w:pPr>
    </w:p>
    <w:p w14:paraId="59EB0E2E" w14:textId="4C476E06" w:rsidR="007758CF" w:rsidRDefault="007758CF" w:rsidP="009A267B">
      <w:pPr>
        <w:ind w:left="720"/>
        <w:rPr>
          <w:szCs w:val="22"/>
          <w:lang w:val="fr-CA"/>
        </w:rPr>
      </w:pPr>
      <w:r w:rsidRPr="00BA66A9">
        <w:rPr>
          <w:szCs w:val="22"/>
          <w:lang w:val="fr-CA"/>
        </w:rPr>
        <w:t xml:space="preserve">En 2023 elle a été élue membre du conseil d’administration de l’ARGCE.  </w:t>
      </w:r>
    </w:p>
    <w:p w14:paraId="6B54BE55" w14:textId="2D16C122" w:rsidR="00F519C8" w:rsidRDefault="00F519C8" w:rsidP="009A267B">
      <w:pPr>
        <w:ind w:left="720"/>
        <w:rPr>
          <w:szCs w:val="22"/>
          <w:lang w:val="fr-CA"/>
        </w:rPr>
      </w:pPr>
    </w:p>
    <w:p w14:paraId="5CFC11BD" w14:textId="25FBF9D2" w:rsidR="00F519C8" w:rsidRPr="00BA66A9" w:rsidRDefault="00F519C8" w:rsidP="009A267B">
      <w:pPr>
        <w:ind w:left="720"/>
        <w:rPr>
          <w:szCs w:val="22"/>
          <w:lang w:val="fr-CA"/>
        </w:rPr>
      </w:pPr>
      <w:r>
        <w:rPr>
          <w:szCs w:val="22"/>
          <w:lang w:val="fr-CA"/>
        </w:rPr>
        <w:t xml:space="preserve">Une plaque commémorative </w:t>
      </w:r>
      <w:r w:rsidR="00F12CAD">
        <w:rPr>
          <w:szCs w:val="22"/>
          <w:lang w:val="fr-CA"/>
        </w:rPr>
        <w:t>sera remise lors de l’Assemblée générale annuelle.</w:t>
      </w:r>
    </w:p>
    <w:p w14:paraId="13BCBDD1" w14:textId="4ACAB78B" w:rsidR="00773969" w:rsidRDefault="00773969" w:rsidP="007758CF">
      <w:pPr>
        <w:rPr>
          <w:szCs w:val="22"/>
          <w:lang w:val="fr-CA"/>
        </w:rPr>
      </w:pPr>
    </w:p>
    <w:p w14:paraId="5DF02750" w14:textId="267DE500" w:rsidR="00773969" w:rsidRDefault="00773969" w:rsidP="00E84098">
      <w:pPr>
        <w:pBdr>
          <w:bottom w:val="single" w:sz="4" w:space="1" w:color="auto"/>
        </w:pBdr>
        <w:rPr>
          <w:b/>
          <w:bCs/>
          <w:szCs w:val="22"/>
          <w:lang w:val="fr-CA"/>
        </w:rPr>
      </w:pPr>
      <w:r w:rsidRPr="00773969">
        <w:rPr>
          <w:b/>
          <w:bCs/>
          <w:szCs w:val="22"/>
          <w:lang w:val="fr-CA"/>
        </w:rPr>
        <w:t>TOURNOIS</w:t>
      </w:r>
    </w:p>
    <w:p w14:paraId="46C70585" w14:textId="5C2B94F5" w:rsidR="00773969" w:rsidRDefault="00773969" w:rsidP="007758CF">
      <w:pPr>
        <w:rPr>
          <w:b/>
          <w:bCs/>
          <w:szCs w:val="22"/>
          <w:lang w:val="fr-CA"/>
        </w:rPr>
      </w:pPr>
    </w:p>
    <w:p w14:paraId="0EFE6C73" w14:textId="3B35B918" w:rsidR="00773969" w:rsidRDefault="00773969" w:rsidP="007758CF">
      <w:pPr>
        <w:rPr>
          <w:szCs w:val="22"/>
          <w:lang w:val="fr-CA"/>
        </w:rPr>
      </w:pPr>
      <w:r>
        <w:rPr>
          <w:b/>
          <w:bCs/>
          <w:szCs w:val="22"/>
          <w:lang w:val="fr-CA"/>
        </w:rPr>
        <w:t xml:space="preserve">Circuit régional junior </w:t>
      </w:r>
      <w:r w:rsidR="00026A77">
        <w:rPr>
          <w:szCs w:val="22"/>
          <w:lang w:val="fr-CA"/>
        </w:rPr>
        <w:t xml:space="preserve">– </w:t>
      </w:r>
      <w:r w:rsidR="00026A77">
        <w:rPr>
          <w:b/>
          <w:bCs/>
          <w:szCs w:val="22"/>
          <w:lang w:val="fr-CA"/>
        </w:rPr>
        <w:t>Pierre Lallier,</w:t>
      </w:r>
      <w:r>
        <w:rPr>
          <w:szCs w:val="22"/>
          <w:lang w:val="fr-CA"/>
        </w:rPr>
        <w:t xml:space="preserve"> responsable et coach régional</w:t>
      </w:r>
    </w:p>
    <w:p w14:paraId="1F0FD3A7" w14:textId="5245F731" w:rsidR="007D215E" w:rsidRDefault="00597C90" w:rsidP="00597C90">
      <w:pPr>
        <w:ind w:left="720"/>
        <w:rPr>
          <w:lang w:val="fr-CA"/>
        </w:rPr>
      </w:pPr>
      <w:r>
        <w:rPr>
          <w:lang w:val="fr-CA"/>
        </w:rPr>
        <w:t>Notre coach régional ne cesse d’améliorer l’offre d’activités pour notre clientèle junior et</w:t>
      </w:r>
      <w:r w:rsidR="00E84098">
        <w:rPr>
          <w:lang w:val="fr-CA"/>
        </w:rPr>
        <w:t xml:space="preserve"> met </w:t>
      </w:r>
      <w:r>
        <w:rPr>
          <w:lang w:val="fr-CA"/>
        </w:rPr>
        <w:t xml:space="preserve">tout en œuvre pour que les jeunes golfeurs et golfeuses juniors aient le support nécessaire à leur développement. Il bénéficie d’une excellente collaboration </w:t>
      </w:r>
      <w:r w:rsidR="00E84098">
        <w:rPr>
          <w:lang w:val="fr-CA"/>
        </w:rPr>
        <w:t>des</w:t>
      </w:r>
      <w:r>
        <w:rPr>
          <w:lang w:val="fr-CA"/>
        </w:rPr>
        <w:t xml:space="preserve"> clubs des Cantons de l’Est qui </w:t>
      </w:r>
      <w:r w:rsidR="00C9333C">
        <w:rPr>
          <w:lang w:val="fr-CA"/>
        </w:rPr>
        <w:t xml:space="preserve">supportent année après année l’Association </w:t>
      </w:r>
      <w:r>
        <w:rPr>
          <w:lang w:val="fr-CA"/>
        </w:rPr>
        <w:t>dans ses activités</w:t>
      </w:r>
      <w:r w:rsidR="00C9333C">
        <w:rPr>
          <w:lang w:val="fr-CA"/>
        </w:rPr>
        <w:t xml:space="preserve"> de développement auprès des juniors.</w:t>
      </w:r>
    </w:p>
    <w:p w14:paraId="14F7A7AE" w14:textId="77777777" w:rsidR="007D215E" w:rsidRDefault="007D215E" w:rsidP="00597C90">
      <w:pPr>
        <w:ind w:left="720"/>
        <w:rPr>
          <w:lang w:val="fr-CA"/>
        </w:rPr>
      </w:pPr>
    </w:p>
    <w:p w14:paraId="611F59E6" w14:textId="52B76A13" w:rsidR="00597C90" w:rsidRDefault="007D215E" w:rsidP="007D215E">
      <w:pPr>
        <w:ind w:left="720"/>
        <w:rPr>
          <w:lang w:val="fr-CA"/>
        </w:rPr>
      </w:pPr>
      <w:r>
        <w:rPr>
          <w:lang w:val="fr-CA"/>
        </w:rPr>
        <w:t xml:space="preserve">Le 15 juin 2024, </w:t>
      </w:r>
      <w:r w:rsidR="00E84098">
        <w:rPr>
          <w:lang w:val="fr-CA"/>
        </w:rPr>
        <w:t xml:space="preserve">en collaboration avec le Club Optimiste, il a organisé avec succès </w:t>
      </w:r>
      <w:r>
        <w:rPr>
          <w:lang w:val="fr-CA"/>
        </w:rPr>
        <w:t xml:space="preserve">le tout premier </w:t>
      </w:r>
      <w:r>
        <w:rPr>
          <w:b/>
          <w:bCs/>
          <w:lang w:val="fr-CA"/>
        </w:rPr>
        <w:t>Défi d’habileté dans la région de Sherbrooke</w:t>
      </w:r>
      <w:r w:rsidR="00E84098">
        <w:rPr>
          <w:lang w:val="fr-CA"/>
        </w:rPr>
        <w:t xml:space="preserve">. Cette activité s’est déroulée au </w:t>
      </w:r>
      <w:r>
        <w:rPr>
          <w:lang w:val="fr-CA"/>
        </w:rPr>
        <w:t>club de golf Venise</w:t>
      </w:r>
      <w:r w:rsidR="00E84098">
        <w:rPr>
          <w:lang w:val="fr-CA"/>
        </w:rPr>
        <w:t>.</w:t>
      </w:r>
    </w:p>
    <w:p w14:paraId="52C42CF7" w14:textId="4AFDD66C" w:rsidR="007D215E" w:rsidRDefault="007D215E" w:rsidP="007D215E">
      <w:pPr>
        <w:ind w:left="720"/>
        <w:rPr>
          <w:lang w:val="fr-CA"/>
        </w:rPr>
      </w:pPr>
    </w:p>
    <w:p w14:paraId="0717CD25" w14:textId="4117FA15" w:rsidR="007D215E" w:rsidRDefault="007D215E" w:rsidP="007D215E">
      <w:pPr>
        <w:ind w:left="720"/>
        <w:rPr>
          <w:lang w:val="fr-CA"/>
        </w:rPr>
      </w:pPr>
      <w:r>
        <w:rPr>
          <w:u w:val="single"/>
          <w:lang w:val="fr-CA"/>
        </w:rPr>
        <w:t>Circuit d’initiation</w:t>
      </w:r>
      <w:r>
        <w:rPr>
          <w:lang w:val="fr-CA"/>
        </w:rPr>
        <w:t xml:space="preserve"> – Le circuit d’initiation gravite autour du camp junior et se déroule du début juillet à la mi-août. Une quarantaine de jeunes </w:t>
      </w:r>
      <w:r w:rsidR="009F4B4C">
        <w:rPr>
          <w:lang w:val="fr-CA"/>
        </w:rPr>
        <w:t>ont profité de ce mini-circuit.</w:t>
      </w:r>
    </w:p>
    <w:p w14:paraId="4FE1BCB6" w14:textId="22117E17" w:rsidR="009F4B4C" w:rsidRDefault="009F4B4C" w:rsidP="007D215E">
      <w:pPr>
        <w:ind w:left="720"/>
        <w:rPr>
          <w:lang w:val="fr-CA"/>
        </w:rPr>
      </w:pPr>
    </w:p>
    <w:p w14:paraId="2C9E0E5E" w14:textId="6DBCD4A9" w:rsidR="00C9333C" w:rsidRDefault="009F4B4C" w:rsidP="00C9333C">
      <w:pPr>
        <w:ind w:left="720"/>
        <w:rPr>
          <w:lang w:val="fr-CA"/>
        </w:rPr>
      </w:pPr>
      <w:r>
        <w:rPr>
          <w:u w:val="single"/>
          <w:lang w:val="fr-CA"/>
        </w:rPr>
        <w:t>Les CRJ (circuits régionaux)</w:t>
      </w:r>
      <w:r>
        <w:rPr>
          <w:lang w:val="fr-CA"/>
        </w:rPr>
        <w:t xml:space="preserve"> – Sept compétitions ont été organisées en 2024, dont une qui fut annulée à cause de la température. En moyenne, 45 à 60 jeunes golfeurs participent aux événements. En 2024, les clubs hôtes furent : </w:t>
      </w:r>
      <w:r w:rsidR="00A14B62">
        <w:rPr>
          <w:lang w:val="fr-CA"/>
        </w:rPr>
        <w:t xml:space="preserve">Venise, Vieux Village, Owl’s Head, Le Laurier, Val des Sources, Milby et Cowansville (tournoi annulé).  Merci à tous ces clubs qui nous supportent. </w:t>
      </w:r>
    </w:p>
    <w:p w14:paraId="00374A0A" w14:textId="642011CF" w:rsidR="00BE53AE" w:rsidRDefault="00BE53AE" w:rsidP="00C9333C">
      <w:pPr>
        <w:ind w:left="720"/>
        <w:rPr>
          <w:lang w:val="fr-CA"/>
        </w:rPr>
      </w:pPr>
    </w:p>
    <w:p w14:paraId="3D582A89" w14:textId="761C6CFB" w:rsidR="00BE53AE" w:rsidRPr="00BE53AE" w:rsidRDefault="00BE53AE" w:rsidP="00C9333C">
      <w:pPr>
        <w:ind w:left="720"/>
        <w:rPr>
          <w:lang w:val="fr-CA"/>
        </w:rPr>
      </w:pPr>
      <w:r>
        <w:rPr>
          <w:u w:val="single"/>
          <w:lang w:val="fr-CA"/>
        </w:rPr>
        <w:t>Championnat interrégional</w:t>
      </w:r>
      <w:r>
        <w:rPr>
          <w:lang w:val="fr-CA"/>
        </w:rPr>
        <w:t xml:space="preserve"> – La sélection des 8 joueurs qui représentent les Cantons de l’</w:t>
      </w:r>
      <w:r w:rsidR="00F42F6A">
        <w:rPr>
          <w:lang w:val="fr-CA"/>
        </w:rPr>
        <w:t>E</w:t>
      </w:r>
      <w:r>
        <w:rPr>
          <w:lang w:val="fr-CA"/>
        </w:rPr>
        <w:t xml:space="preserve">st fut faite par un système de points établi en début de saison ce qui facilite la sélection et donne la chance à tous de faire partie de l’équipe. </w:t>
      </w:r>
    </w:p>
    <w:p w14:paraId="5C069476" w14:textId="037A6BF5" w:rsidR="00B36A4F" w:rsidRDefault="00B36A4F" w:rsidP="007758CF">
      <w:pPr>
        <w:rPr>
          <w:szCs w:val="22"/>
          <w:lang w:val="fr-CA"/>
        </w:rPr>
      </w:pPr>
    </w:p>
    <w:p w14:paraId="7219F0E8" w14:textId="5DFA405B" w:rsidR="00C9333C" w:rsidRPr="00F919A0" w:rsidRDefault="00C9333C" w:rsidP="00F919A0">
      <w:pPr>
        <w:rPr>
          <w:b/>
          <w:bCs/>
          <w:szCs w:val="22"/>
          <w:lang w:val="fr-CA"/>
        </w:rPr>
      </w:pPr>
      <w:r>
        <w:rPr>
          <w:b/>
          <w:bCs/>
          <w:szCs w:val="22"/>
          <w:lang w:val="fr-CA"/>
        </w:rPr>
        <w:t>Tournois féminins – Suzanne Viens</w:t>
      </w:r>
    </w:p>
    <w:p w14:paraId="5CC08601" w14:textId="6C1A309A" w:rsidR="00C9333C" w:rsidRDefault="00C9333C" w:rsidP="00C9333C">
      <w:pPr>
        <w:ind w:left="720"/>
        <w:rPr>
          <w:lang w:val="fr-CA"/>
        </w:rPr>
      </w:pPr>
      <w:r>
        <w:rPr>
          <w:lang w:val="fr-CA"/>
        </w:rPr>
        <w:t>Depuis de nombreuses années, les activités de la section féminine sont courues</w:t>
      </w:r>
      <w:r w:rsidR="00F919A0">
        <w:rPr>
          <w:lang w:val="fr-CA"/>
        </w:rPr>
        <w:t xml:space="preserve"> et la </w:t>
      </w:r>
      <w:r>
        <w:rPr>
          <w:lang w:val="fr-CA"/>
        </w:rPr>
        <w:t xml:space="preserve">participation </w:t>
      </w:r>
      <w:r w:rsidR="00F919A0">
        <w:rPr>
          <w:lang w:val="fr-CA"/>
        </w:rPr>
        <w:t>est plus qu’excellente. Cependant, il nous faut souligner la baisse importante de la participation au championnat amateur féminin</w:t>
      </w:r>
      <w:r w:rsidR="00747BD1">
        <w:rPr>
          <w:lang w:val="fr-CA"/>
        </w:rPr>
        <w:t xml:space="preserve"> en 2024.</w:t>
      </w:r>
    </w:p>
    <w:p w14:paraId="2A827DC4" w14:textId="6B1F9E4B" w:rsidR="00F919A0" w:rsidRDefault="00F919A0" w:rsidP="00C9333C">
      <w:pPr>
        <w:ind w:left="720"/>
        <w:rPr>
          <w:lang w:val="fr-CA"/>
        </w:rPr>
      </w:pPr>
    </w:p>
    <w:p w14:paraId="5FC137FA" w14:textId="2C78777A" w:rsidR="00F919A0" w:rsidRDefault="00F919A0" w:rsidP="00F919A0">
      <w:pPr>
        <w:ind w:left="720"/>
        <w:rPr>
          <w:lang w:val="fr-CA"/>
        </w:rPr>
      </w:pPr>
      <w:r>
        <w:rPr>
          <w:lang w:val="fr-CA"/>
        </w:rPr>
        <w:t>En 2024, 4 tournois ont été organisés en plus des rencontres interclubs où 23 clubs y ont participés. Les formules choisies : 4 balles au club de golf Venise, Chapman modifié au club de golf Miner, Championnat individuel des Cantons de l’</w:t>
      </w:r>
      <w:r w:rsidR="00127941">
        <w:rPr>
          <w:lang w:val="fr-CA"/>
        </w:rPr>
        <w:t>E</w:t>
      </w:r>
      <w:r>
        <w:rPr>
          <w:lang w:val="fr-CA"/>
        </w:rPr>
        <w:t xml:space="preserve">st au club de golf </w:t>
      </w:r>
      <w:r>
        <w:rPr>
          <w:lang w:val="fr-CA"/>
        </w:rPr>
        <w:lastRenderedPageBreak/>
        <w:t>Farnham (sur 2 jour</w:t>
      </w:r>
      <w:r w:rsidR="00127941">
        <w:rPr>
          <w:lang w:val="fr-CA"/>
        </w:rPr>
        <w:t>s</w:t>
      </w:r>
      <w:r>
        <w:rPr>
          <w:lang w:val="fr-CA"/>
        </w:rPr>
        <w:t xml:space="preserve">), et Vegas au club de golf Hériot, club d’appartenance de Sylvie Gagnon. Journée émotive où le départ subit de Sylvie a été souligné. </w:t>
      </w:r>
    </w:p>
    <w:p w14:paraId="420E9CCD" w14:textId="45A24B33" w:rsidR="00112A66" w:rsidRDefault="00112A66" w:rsidP="00F919A0">
      <w:pPr>
        <w:ind w:left="720"/>
        <w:rPr>
          <w:lang w:val="fr-CA"/>
        </w:rPr>
      </w:pPr>
    </w:p>
    <w:p w14:paraId="7E2BBE7D" w14:textId="35BC9824" w:rsidR="00112A66" w:rsidRDefault="00747BD1" w:rsidP="00F919A0">
      <w:pPr>
        <w:ind w:left="720"/>
        <w:rPr>
          <w:lang w:val="fr-CA"/>
        </w:rPr>
      </w:pPr>
      <w:r>
        <w:rPr>
          <w:lang w:val="fr-CA"/>
        </w:rPr>
        <w:t>L’année s’est clôturée par l’annonce, lors du dernier tournoi, de la</w:t>
      </w:r>
      <w:r w:rsidR="00112A66">
        <w:rPr>
          <w:lang w:val="fr-CA"/>
        </w:rPr>
        <w:t xml:space="preserve"> nomination de </w:t>
      </w:r>
      <w:r>
        <w:rPr>
          <w:lang w:val="fr-CA"/>
        </w:rPr>
        <w:t>M</w:t>
      </w:r>
      <w:r w:rsidRPr="00747BD1">
        <w:rPr>
          <w:vertAlign w:val="superscript"/>
          <w:lang w:val="fr-CA"/>
        </w:rPr>
        <w:t xml:space="preserve">me </w:t>
      </w:r>
      <w:r w:rsidR="00112A66">
        <w:rPr>
          <w:lang w:val="fr-CA"/>
        </w:rPr>
        <w:t>Suzanne Viens à titre de responsable des tournois de la section féminine</w:t>
      </w:r>
      <w:r>
        <w:rPr>
          <w:lang w:val="fr-CA"/>
        </w:rPr>
        <w:t>. Une excellente acquisition pour les Cantons de l’</w:t>
      </w:r>
      <w:r w:rsidR="00127941">
        <w:rPr>
          <w:lang w:val="fr-CA"/>
        </w:rPr>
        <w:t>E</w:t>
      </w:r>
      <w:r>
        <w:rPr>
          <w:lang w:val="fr-CA"/>
        </w:rPr>
        <w:t>st.</w:t>
      </w:r>
    </w:p>
    <w:p w14:paraId="62F30689" w14:textId="77777777" w:rsidR="00C9333C" w:rsidRDefault="00C9333C" w:rsidP="00747BD1">
      <w:pPr>
        <w:rPr>
          <w:lang w:val="fr-CA"/>
        </w:rPr>
      </w:pPr>
    </w:p>
    <w:p w14:paraId="6CF7DACC" w14:textId="054DD481" w:rsidR="009A267B" w:rsidRDefault="00B36A4F" w:rsidP="007758CF">
      <w:pPr>
        <w:rPr>
          <w:szCs w:val="22"/>
          <w:lang w:val="fr-CA"/>
        </w:rPr>
      </w:pPr>
      <w:r>
        <w:rPr>
          <w:b/>
          <w:bCs/>
          <w:szCs w:val="22"/>
          <w:lang w:val="fr-CA"/>
        </w:rPr>
        <w:t>Tournois masculins – Napoléon Vigneau</w:t>
      </w:r>
    </w:p>
    <w:p w14:paraId="57E85F86" w14:textId="06AF8CE6" w:rsidR="00B51A8F" w:rsidRDefault="007D215E" w:rsidP="00C9333C">
      <w:pPr>
        <w:ind w:left="720"/>
        <w:rPr>
          <w:szCs w:val="22"/>
          <w:lang w:val="fr-CA"/>
        </w:rPr>
      </w:pPr>
      <w:r>
        <w:rPr>
          <w:szCs w:val="22"/>
          <w:lang w:val="fr-CA"/>
        </w:rPr>
        <w:t xml:space="preserve">Ce fut un nouveau départ pour les tournois masculins en 2024. </w:t>
      </w:r>
      <w:r w:rsidR="00A14B62">
        <w:rPr>
          <w:szCs w:val="22"/>
          <w:lang w:val="fr-CA"/>
        </w:rPr>
        <w:t xml:space="preserve">L’équipe composée de MM. Napoléon Vigneau, Sylvain Latour et Pierre Pépin a choisi d’organiser des tournois par équipes. </w:t>
      </w:r>
      <w:r w:rsidR="00807A63">
        <w:rPr>
          <w:szCs w:val="22"/>
          <w:lang w:val="fr-CA"/>
        </w:rPr>
        <w:t>En tout, q</w:t>
      </w:r>
      <w:r w:rsidR="00A14B62">
        <w:rPr>
          <w:szCs w:val="22"/>
          <w:lang w:val="fr-CA"/>
        </w:rPr>
        <w:t xml:space="preserve">uatre tournois ont été </w:t>
      </w:r>
      <w:r w:rsidR="00747BD1">
        <w:rPr>
          <w:szCs w:val="22"/>
          <w:lang w:val="fr-CA"/>
        </w:rPr>
        <w:t>offerts</w:t>
      </w:r>
      <w:r w:rsidR="00A14B62">
        <w:rPr>
          <w:szCs w:val="22"/>
          <w:lang w:val="fr-CA"/>
        </w:rPr>
        <w:t xml:space="preserve"> </w:t>
      </w:r>
      <w:r w:rsidR="00C9333C">
        <w:rPr>
          <w:szCs w:val="22"/>
          <w:lang w:val="fr-CA"/>
        </w:rPr>
        <w:t xml:space="preserve">selon les formules Vegas, </w:t>
      </w:r>
      <w:r w:rsidR="00747BD1">
        <w:rPr>
          <w:szCs w:val="22"/>
          <w:lang w:val="fr-CA"/>
        </w:rPr>
        <w:t>4</w:t>
      </w:r>
      <w:r w:rsidR="00C9333C">
        <w:rPr>
          <w:szCs w:val="22"/>
          <w:lang w:val="fr-CA"/>
        </w:rPr>
        <w:t xml:space="preserve"> balles, Chapman et Chapman modifié). </w:t>
      </w:r>
      <w:r w:rsidR="00127941">
        <w:rPr>
          <w:szCs w:val="22"/>
          <w:lang w:val="fr-CA"/>
        </w:rPr>
        <w:t>Pour une première année, n</w:t>
      </w:r>
      <w:r w:rsidR="00C9333C">
        <w:rPr>
          <w:szCs w:val="22"/>
          <w:lang w:val="fr-CA"/>
        </w:rPr>
        <w:t xml:space="preserve">ous sommes satisfaits de la </w:t>
      </w:r>
      <w:r w:rsidR="00807A63">
        <w:rPr>
          <w:szCs w:val="22"/>
          <w:lang w:val="fr-CA"/>
        </w:rPr>
        <w:t xml:space="preserve">participation compte tenu </w:t>
      </w:r>
      <w:r w:rsidR="00127941">
        <w:rPr>
          <w:szCs w:val="22"/>
          <w:lang w:val="fr-CA"/>
        </w:rPr>
        <w:t xml:space="preserve">entre autres </w:t>
      </w:r>
      <w:r w:rsidR="00807A63">
        <w:rPr>
          <w:szCs w:val="22"/>
          <w:lang w:val="fr-CA"/>
        </w:rPr>
        <w:t xml:space="preserve">du nouveau processus d’inscription qui semble en avoir découragé plus d’un. </w:t>
      </w:r>
      <w:r w:rsidR="00C9333C">
        <w:rPr>
          <w:szCs w:val="22"/>
          <w:lang w:val="fr-CA"/>
        </w:rPr>
        <w:t>Nous tenons à remercier</w:t>
      </w:r>
      <w:r w:rsidR="00807A63">
        <w:rPr>
          <w:szCs w:val="22"/>
          <w:lang w:val="fr-CA"/>
        </w:rPr>
        <w:t xml:space="preserve"> tous les membres </w:t>
      </w:r>
      <w:r w:rsidR="00747BD1">
        <w:rPr>
          <w:szCs w:val="22"/>
          <w:lang w:val="fr-CA"/>
        </w:rPr>
        <w:t xml:space="preserve">de cette équipe dynamique </w:t>
      </w:r>
      <w:r w:rsidR="00807A63">
        <w:rPr>
          <w:szCs w:val="22"/>
          <w:lang w:val="fr-CA"/>
        </w:rPr>
        <w:t xml:space="preserve">et en particulier </w:t>
      </w:r>
      <w:r w:rsidR="00747BD1">
        <w:rPr>
          <w:szCs w:val="22"/>
          <w:lang w:val="fr-CA"/>
        </w:rPr>
        <w:t xml:space="preserve">M. </w:t>
      </w:r>
      <w:r w:rsidR="00807A63">
        <w:rPr>
          <w:szCs w:val="22"/>
          <w:lang w:val="fr-CA"/>
        </w:rPr>
        <w:t xml:space="preserve">Pierre Pépin, qui n’a pas ménagé les efforts de recrutement auprès des joueurs. </w:t>
      </w:r>
      <w:r w:rsidR="00C9333C">
        <w:rPr>
          <w:szCs w:val="22"/>
          <w:lang w:val="fr-CA"/>
        </w:rPr>
        <w:t xml:space="preserve">Merci également aux clubs de golf Farnham, Dufferin Heights, Hériot et Venise pour leur support. </w:t>
      </w:r>
    </w:p>
    <w:p w14:paraId="13DC7F3C" w14:textId="0D09CBE2" w:rsidR="00BE53AE" w:rsidRDefault="00BE53AE" w:rsidP="00C9333C">
      <w:pPr>
        <w:ind w:left="720"/>
        <w:rPr>
          <w:szCs w:val="22"/>
          <w:lang w:val="fr-CA"/>
        </w:rPr>
      </w:pPr>
    </w:p>
    <w:p w14:paraId="4BDF6196" w14:textId="56750F0D" w:rsidR="00BE53AE" w:rsidRDefault="00127941" w:rsidP="00BE53AE">
      <w:pPr>
        <w:rPr>
          <w:b/>
          <w:bCs/>
          <w:lang w:val="fr-CA"/>
        </w:rPr>
      </w:pPr>
      <w:r>
        <w:rPr>
          <w:b/>
          <w:bCs/>
          <w:lang w:val="fr-CA"/>
        </w:rPr>
        <w:t>Interclubs masculins</w:t>
      </w:r>
      <w:r w:rsidR="00BE53AE" w:rsidRPr="00BE53AE">
        <w:rPr>
          <w:b/>
          <w:bCs/>
          <w:lang w:val="fr-CA"/>
        </w:rPr>
        <w:t xml:space="preserve"> </w:t>
      </w:r>
      <w:r w:rsidR="00BE53AE">
        <w:rPr>
          <w:b/>
          <w:bCs/>
          <w:lang w:val="fr-CA"/>
        </w:rPr>
        <w:t>– Réal Chartier</w:t>
      </w:r>
    </w:p>
    <w:p w14:paraId="769870C0" w14:textId="2CE903CF" w:rsidR="00BE53AE" w:rsidRDefault="00BE53AE" w:rsidP="00BE53AE">
      <w:pPr>
        <w:ind w:left="720"/>
        <w:rPr>
          <w:lang w:val="fr-CA"/>
        </w:rPr>
      </w:pPr>
      <w:r>
        <w:rPr>
          <w:lang w:val="fr-CA"/>
        </w:rPr>
        <w:t xml:space="preserve">Tout s’est très bien déroulé en 2024, malgré le désistement de deux équipes la semaine précédente </w:t>
      </w:r>
      <w:r w:rsidR="00127941">
        <w:rPr>
          <w:lang w:val="fr-CA"/>
        </w:rPr>
        <w:t xml:space="preserve">des compétitions </w:t>
      </w:r>
      <w:r>
        <w:rPr>
          <w:lang w:val="fr-CA"/>
        </w:rPr>
        <w:t xml:space="preserve">faute de joueurs. </w:t>
      </w:r>
    </w:p>
    <w:p w14:paraId="3DFE78C3" w14:textId="666BA56F" w:rsidR="009E127F" w:rsidRDefault="009E127F" w:rsidP="00BE53AE">
      <w:pPr>
        <w:ind w:left="720"/>
        <w:rPr>
          <w:lang w:val="fr-CA"/>
        </w:rPr>
      </w:pPr>
    </w:p>
    <w:p w14:paraId="4AB66FEF" w14:textId="28598777" w:rsidR="009E127F" w:rsidRDefault="009E127F" w:rsidP="00BE53AE">
      <w:pPr>
        <w:ind w:left="720"/>
        <w:rPr>
          <w:lang w:val="fr-CA"/>
        </w:rPr>
      </w:pPr>
      <w:r>
        <w:rPr>
          <w:lang w:val="fr-CA"/>
        </w:rPr>
        <w:t xml:space="preserve">Pour 2025, des modifications seront apportés au niveau </w:t>
      </w:r>
      <w:r w:rsidR="00127941">
        <w:rPr>
          <w:lang w:val="fr-CA"/>
        </w:rPr>
        <w:t xml:space="preserve">de l’éligibilité et </w:t>
      </w:r>
      <w:r>
        <w:rPr>
          <w:lang w:val="fr-CA"/>
        </w:rPr>
        <w:t>du nombre de joueurs par équipe</w:t>
      </w:r>
      <w:r w:rsidR="00127941">
        <w:rPr>
          <w:lang w:val="fr-CA"/>
        </w:rPr>
        <w:t>.</w:t>
      </w:r>
      <w:r>
        <w:rPr>
          <w:lang w:val="fr-CA"/>
        </w:rPr>
        <w:t xml:space="preserve"> </w:t>
      </w:r>
    </w:p>
    <w:p w14:paraId="0AF4FCC8" w14:textId="77777777" w:rsidR="00F06EB3" w:rsidRDefault="00F06EB3" w:rsidP="00BE53AE">
      <w:pPr>
        <w:ind w:left="720"/>
        <w:rPr>
          <w:lang w:val="fr-CA"/>
        </w:rPr>
      </w:pPr>
    </w:p>
    <w:p w14:paraId="526F3DBE" w14:textId="320B5798" w:rsidR="008328E2" w:rsidRPr="000758F0" w:rsidRDefault="000758F0" w:rsidP="00C759AD">
      <w:pPr>
        <w:ind w:left="720"/>
        <w:jc w:val="center"/>
        <w:rPr>
          <w:b/>
          <w:bCs/>
          <w:lang w:val="fr-CA"/>
        </w:rPr>
      </w:pPr>
      <w:r w:rsidRPr="000758F0">
        <w:rPr>
          <w:b/>
          <w:bCs/>
          <w:lang w:val="fr-CA"/>
        </w:rPr>
        <w:t xml:space="preserve">CLUBS GAGNANTS </w:t>
      </w:r>
      <w:r w:rsidR="00127941">
        <w:rPr>
          <w:b/>
          <w:bCs/>
          <w:lang w:val="fr-CA"/>
        </w:rPr>
        <w:t xml:space="preserve">PAR </w:t>
      </w:r>
      <w:r w:rsidRPr="000758F0">
        <w:rPr>
          <w:b/>
          <w:bCs/>
          <w:lang w:val="fr-CA"/>
        </w:rPr>
        <w:t>CATÉGORIE</w:t>
      </w:r>
    </w:p>
    <w:tbl>
      <w:tblPr>
        <w:tblStyle w:val="TableGrid"/>
        <w:tblW w:w="9498" w:type="dxa"/>
        <w:tblInd w:w="-5" w:type="dxa"/>
        <w:tblLook w:val="04A0" w:firstRow="1" w:lastRow="0" w:firstColumn="1" w:lastColumn="0" w:noHBand="0" w:noVBand="1"/>
      </w:tblPr>
      <w:tblGrid>
        <w:gridCol w:w="2552"/>
        <w:gridCol w:w="567"/>
        <w:gridCol w:w="2551"/>
        <w:gridCol w:w="624"/>
        <w:gridCol w:w="2644"/>
        <w:gridCol w:w="560"/>
      </w:tblGrid>
      <w:tr w:rsidR="008E37B2" w14:paraId="297545A4" w14:textId="45F3D074" w:rsidTr="008E37B2">
        <w:trPr>
          <w:trHeight w:val="285"/>
        </w:trPr>
        <w:tc>
          <w:tcPr>
            <w:tcW w:w="2552" w:type="dxa"/>
          </w:tcPr>
          <w:p w14:paraId="3D36EE01" w14:textId="6A480216" w:rsidR="008E37B2" w:rsidRPr="00C759AD" w:rsidRDefault="008E37B2" w:rsidP="00C759AD">
            <w:pPr>
              <w:jc w:val="center"/>
              <w:rPr>
                <w:b/>
                <w:bCs/>
                <w:lang w:val="fr-CA"/>
              </w:rPr>
            </w:pPr>
            <w:r w:rsidRPr="00C759AD">
              <w:rPr>
                <w:b/>
                <w:bCs/>
                <w:lang w:val="fr-CA"/>
              </w:rPr>
              <w:t>Hommes A</w:t>
            </w:r>
          </w:p>
        </w:tc>
        <w:tc>
          <w:tcPr>
            <w:tcW w:w="567" w:type="dxa"/>
          </w:tcPr>
          <w:p w14:paraId="381F7257" w14:textId="787CD2B1" w:rsidR="008E37B2" w:rsidRPr="00C759AD" w:rsidRDefault="008E37B2" w:rsidP="00C759AD">
            <w:pPr>
              <w:jc w:val="center"/>
              <w:rPr>
                <w:b/>
                <w:bCs/>
                <w:lang w:val="fr-CA"/>
              </w:rPr>
            </w:pPr>
            <w:r>
              <w:rPr>
                <w:b/>
                <w:bCs/>
                <w:lang w:val="fr-CA"/>
              </w:rPr>
              <w:t>Pts</w:t>
            </w:r>
          </w:p>
        </w:tc>
        <w:tc>
          <w:tcPr>
            <w:tcW w:w="2551" w:type="dxa"/>
          </w:tcPr>
          <w:p w14:paraId="7F557A52" w14:textId="1E5EDBB5" w:rsidR="008E37B2" w:rsidRPr="00C759AD" w:rsidRDefault="008E37B2" w:rsidP="00C759AD">
            <w:pPr>
              <w:jc w:val="center"/>
              <w:rPr>
                <w:b/>
                <w:bCs/>
                <w:lang w:val="fr-CA"/>
              </w:rPr>
            </w:pPr>
            <w:r w:rsidRPr="00C759AD">
              <w:rPr>
                <w:b/>
                <w:bCs/>
                <w:lang w:val="fr-CA"/>
              </w:rPr>
              <w:t>Hommes B</w:t>
            </w:r>
          </w:p>
        </w:tc>
        <w:tc>
          <w:tcPr>
            <w:tcW w:w="624" w:type="dxa"/>
          </w:tcPr>
          <w:p w14:paraId="4E2C198E" w14:textId="08780F44" w:rsidR="008E37B2" w:rsidRPr="00C759AD" w:rsidRDefault="008E37B2" w:rsidP="00C759AD">
            <w:pPr>
              <w:jc w:val="center"/>
              <w:rPr>
                <w:b/>
                <w:bCs/>
                <w:lang w:val="fr-CA"/>
              </w:rPr>
            </w:pPr>
            <w:r>
              <w:rPr>
                <w:b/>
                <w:bCs/>
                <w:lang w:val="fr-CA"/>
              </w:rPr>
              <w:t>Pts</w:t>
            </w:r>
          </w:p>
        </w:tc>
        <w:tc>
          <w:tcPr>
            <w:tcW w:w="2644" w:type="dxa"/>
          </w:tcPr>
          <w:p w14:paraId="0D429374" w14:textId="146DAA54" w:rsidR="008E37B2" w:rsidRPr="00C759AD" w:rsidRDefault="008E37B2" w:rsidP="00C759AD">
            <w:pPr>
              <w:jc w:val="center"/>
              <w:rPr>
                <w:b/>
                <w:bCs/>
                <w:lang w:val="fr-CA"/>
              </w:rPr>
            </w:pPr>
            <w:r w:rsidRPr="00C759AD">
              <w:rPr>
                <w:b/>
                <w:bCs/>
                <w:lang w:val="fr-CA"/>
              </w:rPr>
              <w:t>Hommes Sénior</w:t>
            </w:r>
          </w:p>
        </w:tc>
        <w:tc>
          <w:tcPr>
            <w:tcW w:w="560" w:type="dxa"/>
          </w:tcPr>
          <w:p w14:paraId="3590DA5E" w14:textId="27C0B4CF" w:rsidR="008E37B2" w:rsidRPr="00C759AD" w:rsidRDefault="008E37B2" w:rsidP="00C759AD">
            <w:pPr>
              <w:jc w:val="center"/>
              <w:rPr>
                <w:b/>
                <w:bCs/>
                <w:lang w:val="fr-CA"/>
              </w:rPr>
            </w:pPr>
            <w:r>
              <w:rPr>
                <w:b/>
                <w:bCs/>
                <w:lang w:val="fr-CA"/>
              </w:rPr>
              <w:t>Pts</w:t>
            </w:r>
          </w:p>
        </w:tc>
      </w:tr>
      <w:tr w:rsidR="008E37B2" w14:paraId="63D6DBD0" w14:textId="11161507" w:rsidTr="008E37B2">
        <w:trPr>
          <w:trHeight w:val="304"/>
        </w:trPr>
        <w:tc>
          <w:tcPr>
            <w:tcW w:w="2552" w:type="dxa"/>
          </w:tcPr>
          <w:p w14:paraId="471CE793" w14:textId="7A54BF78" w:rsidR="008E37B2" w:rsidRPr="008328E2" w:rsidRDefault="008E37B2" w:rsidP="008328E2">
            <w:pPr>
              <w:rPr>
                <w:sz w:val="20"/>
                <w:szCs w:val="20"/>
                <w:lang w:val="fr-CA"/>
              </w:rPr>
            </w:pPr>
            <w:r w:rsidRPr="008328E2">
              <w:rPr>
                <w:sz w:val="20"/>
                <w:szCs w:val="20"/>
                <w:lang w:val="fr-CA"/>
              </w:rPr>
              <w:t>Gr 1 – St-Césaire</w:t>
            </w:r>
          </w:p>
        </w:tc>
        <w:tc>
          <w:tcPr>
            <w:tcW w:w="567" w:type="dxa"/>
          </w:tcPr>
          <w:p w14:paraId="20262AB1" w14:textId="32C6C754" w:rsidR="008E37B2" w:rsidRDefault="008E37B2" w:rsidP="008328E2">
            <w:pPr>
              <w:rPr>
                <w:lang w:val="fr-CA"/>
              </w:rPr>
            </w:pPr>
            <w:r>
              <w:rPr>
                <w:lang w:val="fr-CA"/>
              </w:rPr>
              <w:t>35</w:t>
            </w:r>
          </w:p>
        </w:tc>
        <w:tc>
          <w:tcPr>
            <w:tcW w:w="2551" w:type="dxa"/>
          </w:tcPr>
          <w:p w14:paraId="3AECC187" w14:textId="2972474D" w:rsidR="008E37B2" w:rsidRDefault="008E37B2" w:rsidP="008328E2">
            <w:pPr>
              <w:rPr>
                <w:lang w:val="fr-CA"/>
              </w:rPr>
            </w:pPr>
            <w:r>
              <w:rPr>
                <w:lang w:val="fr-CA"/>
              </w:rPr>
              <w:t>Gr 1 – Milby</w:t>
            </w:r>
          </w:p>
        </w:tc>
        <w:tc>
          <w:tcPr>
            <w:tcW w:w="624" w:type="dxa"/>
          </w:tcPr>
          <w:p w14:paraId="1B8F5B84" w14:textId="65971BF3" w:rsidR="008E37B2" w:rsidRDefault="00B64247" w:rsidP="008328E2">
            <w:pPr>
              <w:rPr>
                <w:lang w:val="fr-CA"/>
              </w:rPr>
            </w:pPr>
            <w:r>
              <w:rPr>
                <w:lang w:val="fr-CA"/>
              </w:rPr>
              <w:t>35</w:t>
            </w:r>
          </w:p>
        </w:tc>
        <w:tc>
          <w:tcPr>
            <w:tcW w:w="2644" w:type="dxa"/>
          </w:tcPr>
          <w:p w14:paraId="27C92AB1" w14:textId="0CDD298A" w:rsidR="008E37B2" w:rsidRDefault="008E37B2" w:rsidP="008328E2">
            <w:pPr>
              <w:rPr>
                <w:lang w:val="fr-CA"/>
              </w:rPr>
            </w:pPr>
            <w:r>
              <w:rPr>
                <w:lang w:val="fr-CA"/>
              </w:rPr>
              <w:t xml:space="preserve">Gr 1 – Cowansville </w:t>
            </w:r>
          </w:p>
        </w:tc>
        <w:tc>
          <w:tcPr>
            <w:tcW w:w="560" w:type="dxa"/>
          </w:tcPr>
          <w:p w14:paraId="17316EF5" w14:textId="44D34FF3" w:rsidR="008E37B2" w:rsidRDefault="00B64247" w:rsidP="008328E2">
            <w:pPr>
              <w:rPr>
                <w:lang w:val="fr-CA"/>
              </w:rPr>
            </w:pPr>
            <w:r>
              <w:rPr>
                <w:lang w:val="fr-CA"/>
              </w:rPr>
              <w:t>38</w:t>
            </w:r>
          </w:p>
        </w:tc>
      </w:tr>
      <w:tr w:rsidR="008E37B2" w14:paraId="3798E191" w14:textId="5E7A766F" w:rsidTr="008E37B2">
        <w:trPr>
          <w:trHeight w:val="285"/>
        </w:trPr>
        <w:tc>
          <w:tcPr>
            <w:tcW w:w="2552" w:type="dxa"/>
          </w:tcPr>
          <w:p w14:paraId="44BBB1A0" w14:textId="2042567B" w:rsidR="008E37B2" w:rsidRPr="008328E2" w:rsidRDefault="008E37B2" w:rsidP="008328E2">
            <w:pPr>
              <w:rPr>
                <w:sz w:val="20"/>
                <w:szCs w:val="20"/>
                <w:lang w:val="fr-CA"/>
              </w:rPr>
            </w:pPr>
            <w:r w:rsidRPr="008328E2">
              <w:rPr>
                <w:sz w:val="20"/>
                <w:szCs w:val="20"/>
                <w:lang w:val="fr-CA"/>
              </w:rPr>
              <w:t>Gr 2 – Hériot</w:t>
            </w:r>
          </w:p>
        </w:tc>
        <w:tc>
          <w:tcPr>
            <w:tcW w:w="567" w:type="dxa"/>
          </w:tcPr>
          <w:p w14:paraId="106E1E34" w14:textId="52E6D8DE" w:rsidR="008E37B2" w:rsidRDefault="008E37B2" w:rsidP="008328E2">
            <w:pPr>
              <w:rPr>
                <w:lang w:val="fr-CA"/>
              </w:rPr>
            </w:pPr>
            <w:r>
              <w:rPr>
                <w:lang w:val="fr-CA"/>
              </w:rPr>
              <w:t>42</w:t>
            </w:r>
          </w:p>
        </w:tc>
        <w:tc>
          <w:tcPr>
            <w:tcW w:w="2551" w:type="dxa"/>
          </w:tcPr>
          <w:p w14:paraId="6F9A12A6" w14:textId="73409A58" w:rsidR="008E37B2" w:rsidRDefault="008E37B2" w:rsidP="008328E2">
            <w:pPr>
              <w:rPr>
                <w:lang w:val="fr-CA"/>
              </w:rPr>
            </w:pPr>
            <w:r>
              <w:rPr>
                <w:lang w:val="fr-CA"/>
              </w:rPr>
              <w:t>Gr 2 – Farnham</w:t>
            </w:r>
          </w:p>
        </w:tc>
        <w:tc>
          <w:tcPr>
            <w:tcW w:w="624" w:type="dxa"/>
          </w:tcPr>
          <w:p w14:paraId="299590DB" w14:textId="449F2C31" w:rsidR="008E37B2" w:rsidRDefault="00B64247" w:rsidP="008328E2">
            <w:pPr>
              <w:rPr>
                <w:lang w:val="fr-CA"/>
              </w:rPr>
            </w:pPr>
            <w:r>
              <w:rPr>
                <w:lang w:val="fr-CA"/>
              </w:rPr>
              <w:t>41</w:t>
            </w:r>
          </w:p>
        </w:tc>
        <w:tc>
          <w:tcPr>
            <w:tcW w:w="2644" w:type="dxa"/>
          </w:tcPr>
          <w:p w14:paraId="04CA6E1C" w14:textId="65B69C43" w:rsidR="008E37B2" w:rsidRDefault="008E37B2" w:rsidP="008328E2">
            <w:pPr>
              <w:rPr>
                <w:lang w:val="fr-CA"/>
              </w:rPr>
            </w:pPr>
            <w:r>
              <w:rPr>
                <w:lang w:val="fr-CA"/>
              </w:rPr>
              <w:t>Gr 2 – St-Césaire</w:t>
            </w:r>
          </w:p>
        </w:tc>
        <w:tc>
          <w:tcPr>
            <w:tcW w:w="560" w:type="dxa"/>
          </w:tcPr>
          <w:p w14:paraId="1B1E5A77" w14:textId="49FFF7EA" w:rsidR="008E37B2" w:rsidRDefault="00B64247" w:rsidP="008328E2">
            <w:pPr>
              <w:rPr>
                <w:lang w:val="fr-CA"/>
              </w:rPr>
            </w:pPr>
            <w:r>
              <w:rPr>
                <w:lang w:val="fr-CA"/>
              </w:rPr>
              <w:t>39</w:t>
            </w:r>
          </w:p>
        </w:tc>
      </w:tr>
      <w:tr w:rsidR="008E37B2" w14:paraId="5671147A" w14:textId="76814E69" w:rsidTr="008E37B2">
        <w:trPr>
          <w:trHeight w:val="304"/>
        </w:trPr>
        <w:tc>
          <w:tcPr>
            <w:tcW w:w="2552" w:type="dxa"/>
          </w:tcPr>
          <w:p w14:paraId="7F1253C2" w14:textId="2BFC7823" w:rsidR="008E37B2" w:rsidRPr="008328E2" w:rsidRDefault="008E37B2" w:rsidP="008328E2">
            <w:pPr>
              <w:rPr>
                <w:sz w:val="20"/>
                <w:szCs w:val="20"/>
                <w:lang w:val="fr-CA"/>
              </w:rPr>
            </w:pPr>
            <w:r w:rsidRPr="008328E2">
              <w:rPr>
                <w:sz w:val="20"/>
                <w:szCs w:val="20"/>
                <w:lang w:val="fr-CA"/>
              </w:rPr>
              <w:t>Gr 3 – Longchamp</w:t>
            </w:r>
          </w:p>
        </w:tc>
        <w:tc>
          <w:tcPr>
            <w:tcW w:w="567" w:type="dxa"/>
          </w:tcPr>
          <w:p w14:paraId="11CDB0F6" w14:textId="7FD84D68" w:rsidR="008E37B2" w:rsidRDefault="008E37B2" w:rsidP="008328E2">
            <w:pPr>
              <w:rPr>
                <w:lang w:val="fr-CA"/>
              </w:rPr>
            </w:pPr>
            <w:r>
              <w:rPr>
                <w:lang w:val="fr-CA"/>
              </w:rPr>
              <w:t>51</w:t>
            </w:r>
          </w:p>
        </w:tc>
        <w:tc>
          <w:tcPr>
            <w:tcW w:w="2551" w:type="dxa"/>
          </w:tcPr>
          <w:p w14:paraId="7D2442BE" w14:textId="6B896AA8" w:rsidR="008E37B2" w:rsidRDefault="008E37B2" w:rsidP="008328E2">
            <w:pPr>
              <w:rPr>
                <w:lang w:val="fr-CA"/>
              </w:rPr>
            </w:pPr>
            <w:r>
              <w:rPr>
                <w:lang w:val="fr-CA"/>
              </w:rPr>
              <w:t xml:space="preserve">Gr 3 – Waterville </w:t>
            </w:r>
          </w:p>
        </w:tc>
        <w:tc>
          <w:tcPr>
            <w:tcW w:w="624" w:type="dxa"/>
          </w:tcPr>
          <w:p w14:paraId="40807002" w14:textId="26905CC6" w:rsidR="008E37B2" w:rsidRDefault="00B64247" w:rsidP="008328E2">
            <w:pPr>
              <w:rPr>
                <w:lang w:val="fr-CA"/>
              </w:rPr>
            </w:pPr>
            <w:r>
              <w:rPr>
                <w:lang w:val="fr-CA"/>
              </w:rPr>
              <w:t>42</w:t>
            </w:r>
          </w:p>
        </w:tc>
        <w:tc>
          <w:tcPr>
            <w:tcW w:w="2644" w:type="dxa"/>
          </w:tcPr>
          <w:p w14:paraId="73216A3B" w14:textId="69E2E537" w:rsidR="008E37B2" w:rsidRDefault="008E37B2" w:rsidP="008328E2">
            <w:pPr>
              <w:rPr>
                <w:lang w:val="fr-CA"/>
              </w:rPr>
            </w:pPr>
            <w:r>
              <w:rPr>
                <w:lang w:val="fr-CA"/>
              </w:rPr>
              <w:t xml:space="preserve">Gr 3 – Longchamp </w:t>
            </w:r>
          </w:p>
        </w:tc>
        <w:tc>
          <w:tcPr>
            <w:tcW w:w="560" w:type="dxa"/>
          </w:tcPr>
          <w:p w14:paraId="59AA0169" w14:textId="72B6DDBF" w:rsidR="008E37B2" w:rsidRDefault="00B64247" w:rsidP="008328E2">
            <w:pPr>
              <w:rPr>
                <w:lang w:val="fr-CA"/>
              </w:rPr>
            </w:pPr>
            <w:r>
              <w:rPr>
                <w:lang w:val="fr-CA"/>
              </w:rPr>
              <w:t>47</w:t>
            </w:r>
          </w:p>
        </w:tc>
      </w:tr>
      <w:tr w:rsidR="008E37B2" w14:paraId="195F7B74" w14:textId="6A050F4E" w:rsidTr="008E37B2">
        <w:trPr>
          <w:trHeight w:val="285"/>
        </w:trPr>
        <w:tc>
          <w:tcPr>
            <w:tcW w:w="2552" w:type="dxa"/>
          </w:tcPr>
          <w:p w14:paraId="4B2B7D29" w14:textId="0F99AD2F" w:rsidR="008E37B2" w:rsidRPr="008328E2" w:rsidRDefault="008E37B2" w:rsidP="008328E2">
            <w:pPr>
              <w:rPr>
                <w:sz w:val="20"/>
                <w:szCs w:val="20"/>
                <w:lang w:val="fr-CA"/>
              </w:rPr>
            </w:pPr>
            <w:r w:rsidRPr="008328E2">
              <w:rPr>
                <w:sz w:val="20"/>
                <w:szCs w:val="20"/>
                <w:lang w:val="fr-CA"/>
              </w:rPr>
              <w:t>Gr 4 – Lac Mégantic</w:t>
            </w:r>
          </w:p>
        </w:tc>
        <w:tc>
          <w:tcPr>
            <w:tcW w:w="567" w:type="dxa"/>
          </w:tcPr>
          <w:p w14:paraId="7CCFB235" w14:textId="36ED3078" w:rsidR="008E37B2" w:rsidRDefault="008E37B2" w:rsidP="008328E2">
            <w:pPr>
              <w:rPr>
                <w:lang w:val="fr-CA"/>
              </w:rPr>
            </w:pPr>
            <w:r>
              <w:rPr>
                <w:lang w:val="fr-CA"/>
              </w:rPr>
              <w:t>45</w:t>
            </w:r>
          </w:p>
        </w:tc>
        <w:tc>
          <w:tcPr>
            <w:tcW w:w="2551" w:type="dxa"/>
          </w:tcPr>
          <w:p w14:paraId="5E6D7CDD" w14:textId="1B0A7FA6" w:rsidR="008E37B2" w:rsidRDefault="008E37B2" w:rsidP="008328E2">
            <w:pPr>
              <w:rPr>
                <w:lang w:val="fr-CA"/>
              </w:rPr>
            </w:pPr>
          </w:p>
        </w:tc>
        <w:tc>
          <w:tcPr>
            <w:tcW w:w="624" w:type="dxa"/>
          </w:tcPr>
          <w:p w14:paraId="68D91892" w14:textId="77777777" w:rsidR="008E37B2" w:rsidRDefault="008E37B2" w:rsidP="008328E2">
            <w:pPr>
              <w:rPr>
                <w:lang w:val="fr-CA"/>
              </w:rPr>
            </w:pPr>
          </w:p>
        </w:tc>
        <w:tc>
          <w:tcPr>
            <w:tcW w:w="2644" w:type="dxa"/>
          </w:tcPr>
          <w:p w14:paraId="295C0480" w14:textId="1A55CE53" w:rsidR="008E37B2" w:rsidRDefault="008E37B2" w:rsidP="008328E2">
            <w:pPr>
              <w:rPr>
                <w:lang w:val="fr-CA"/>
              </w:rPr>
            </w:pPr>
            <w:r>
              <w:rPr>
                <w:lang w:val="fr-CA"/>
              </w:rPr>
              <w:t>Gr 4 – Château Bromont</w:t>
            </w:r>
          </w:p>
        </w:tc>
        <w:tc>
          <w:tcPr>
            <w:tcW w:w="560" w:type="dxa"/>
          </w:tcPr>
          <w:p w14:paraId="5F290E55" w14:textId="198ADDC8" w:rsidR="008E37B2" w:rsidRDefault="00B64247" w:rsidP="008328E2">
            <w:pPr>
              <w:rPr>
                <w:lang w:val="fr-CA"/>
              </w:rPr>
            </w:pPr>
            <w:r>
              <w:rPr>
                <w:lang w:val="fr-CA"/>
              </w:rPr>
              <w:t>37</w:t>
            </w:r>
          </w:p>
        </w:tc>
      </w:tr>
      <w:tr w:rsidR="008E37B2" w14:paraId="4B10C4A5" w14:textId="4517BB67" w:rsidTr="008E37B2">
        <w:trPr>
          <w:trHeight w:val="304"/>
        </w:trPr>
        <w:tc>
          <w:tcPr>
            <w:tcW w:w="2552" w:type="dxa"/>
          </w:tcPr>
          <w:p w14:paraId="7F0FE13C" w14:textId="1595AF15" w:rsidR="008E37B2" w:rsidRPr="008328E2" w:rsidRDefault="008E37B2" w:rsidP="008328E2">
            <w:pPr>
              <w:rPr>
                <w:sz w:val="20"/>
                <w:szCs w:val="20"/>
                <w:lang w:val="fr-CA"/>
              </w:rPr>
            </w:pPr>
            <w:r w:rsidRPr="008328E2">
              <w:rPr>
                <w:sz w:val="20"/>
                <w:szCs w:val="20"/>
                <w:lang w:val="fr-CA"/>
              </w:rPr>
              <w:t>Gr 5 – Owl’s Head</w:t>
            </w:r>
          </w:p>
        </w:tc>
        <w:tc>
          <w:tcPr>
            <w:tcW w:w="567" w:type="dxa"/>
          </w:tcPr>
          <w:p w14:paraId="2F4D7CA7" w14:textId="1288C84E" w:rsidR="008E37B2" w:rsidRDefault="008E37B2" w:rsidP="008328E2">
            <w:pPr>
              <w:rPr>
                <w:lang w:val="fr-CA"/>
              </w:rPr>
            </w:pPr>
            <w:r>
              <w:rPr>
                <w:lang w:val="fr-CA"/>
              </w:rPr>
              <w:t>51</w:t>
            </w:r>
          </w:p>
        </w:tc>
        <w:tc>
          <w:tcPr>
            <w:tcW w:w="2551" w:type="dxa"/>
          </w:tcPr>
          <w:p w14:paraId="1F40C1AC" w14:textId="46F49038" w:rsidR="008E37B2" w:rsidRDefault="008E37B2" w:rsidP="008328E2">
            <w:pPr>
              <w:rPr>
                <w:lang w:val="fr-CA"/>
              </w:rPr>
            </w:pPr>
          </w:p>
        </w:tc>
        <w:tc>
          <w:tcPr>
            <w:tcW w:w="624" w:type="dxa"/>
          </w:tcPr>
          <w:p w14:paraId="24343E21" w14:textId="77777777" w:rsidR="008E37B2" w:rsidRDefault="008E37B2" w:rsidP="008328E2">
            <w:pPr>
              <w:rPr>
                <w:lang w:val="fr-CA"/>
              </w:rPr>
            </w:pPr>
          </w:p>
        </w:tc>
        <w:tc>
          <w:tcPr>
            <w:tcW w:w="2644" w:type="dxa"/>
          </w:tcPr>
          <w:p w14:paraId="1252952A" w14:textId="6B9091BF" w:rsidR="008E37B2" w:rsidRDefault="008E37B2" w:rsidP="008328E2">
            <w:pPr>
              <w:rPr>
                <w:lang w:val="fr-CA"/>
              </w:rPr>
            </w:pPr>
            <w:r>
              <w:rPr>
                <w:lang w:val="fr-CA"/>
              </w:rPr>
              <w:t>Gr 5 – Acton Vale</w:t>
            </w:r>
          </w:p>
        </w:tc>
        <w:tc>
          <w:tcPr>
            <w:tcW w:w="560" w:type="dxa"/>
          </w:tcPr>
          <w:p w14:paraId="3A7D472B" w14:textId="4789D128" w:rsidR="008E37B2" w:rsidRDefault="00B64247" w:rsidP="008328E2">
            <w:pPr>
              <w:rPr>
                <w:lang w:val="fr-CA"/>
              </w:rPr>
            </w:pPr>
            <w:r>
              <w:rPr>
                <w:lang w:val="fr-CA"/>
              </w:rPr>
              <w:t>49</w:t>
            </w:r>
          </w:p>
        </w:tc>
      </w:tr>
      <w:tr w:rsidR="008E37B2" w14:paraId="2ED4436F" w14:textId="732013E9" w:rsidTr="008E37B2">
        <w:trPr>
          <w:trHeight w:val="285"/>
        </w:trPr>
        <w:tc>
          <w:tcPr>
            <w:tcW w:w="2552" w:type="dxa"/>
          </w:tcPr>
          <w:p w14:paraId="5D54D989" w14:textId="2A6A654A" w:rsidR="008E37B2" w:rsidRPr="008328E2" w:rsidRDefault="008E37B2" w:rsidP="008328E2">
            <w:pPr>
              <w:rPr>
                <w:sz w:val="20"/>
                <w:szCs w:val="20"/>
                <w:lang w:val="fr-CA"/>
              </w:rPr>
            </w:pPr>
            <w:r w:rsidRPr="008328E2">
              <w:rPr>
                <w:sz w:val="20"/>
                <w:szCs w:val="20"/>
                <w:lang w:val="fr-CA"/>
              </w:rPr>
              <w:t xml:space="preserve">Gr 6 – Milby </w:t>
            </w:r>
          </w:p>
        </w:tc>
        <w:tc>
          <w:tcPr>
            <w:tcW w:w="567" w:type="dxa"/>
          </w:tcPr>
          <w:p w14:paraId="6F66185C" w14:textId="5495C769" w:rsidR="008E37B2" w:rsidRDefault="008E37B2" w:rsidP="008328E2">
            <w:pPr>
              <w:rPr>
                <w:lang w:val="fr-CA"/>
              </w:rPr>
            </w:pPr>
            <w:r>
              <w:rPr>
                <w:lang w:val="fr-CA"/>
              </w:rPr>
              <w:t>44</w:t>
            </w:r>
          </w:p>
        </w:tc>
        <w:tc>
          <w:tcPr>
            <w:tcW w:w="2551" w:type="dxa"/>
          </w:tcPr>
          <w:p w14:paraId="1B2A56AE" w14:textId="4AB3D102" w:rsidR="008E37B2" w:rsidRDefault="008E37B2" w:rsidP="008328E2">
            <w:pPr>
              <w:rPr>
                <w:lang w:val="fr-CA"/>
              </w:rPr>
            </w:pPr>
          </w:p>
        </w:tc>
        <w:tc>
          <w:tcPr>
            <w:tcW w:w="624" w:type="dxa"/>
          </w:tcPr>
          <w:p w14:paraId="54091546" w14:textId="77777777" w:rsidR="008E37B2" w:rsidRDefault="008E37B2" w:rsidP="008328E2">
            <w:pPr>
              <w:rPr>
                <w:lang w:val="fr-CA"/>
              </w:rPr>
            </w:pPr>
          </w:p>
        </w:tc>
        <w:tc>
          <w:tcPr>
            <w:tcW w:w="2644" w:type="dxa"/>
          </w:tcPr>
          <w:p w14:paraId="424C18FE" w14:textId="034047A4" w:rsidR="008E37B2" w:rsidRDefault="008E37B2" w:rsidP="008328E2">
            <w:pPr>
              <w:rPr>
                <w:lang w:val="fr-CA"/>
              </w:rPr>
            </w:pPr>
          </w:p>
        </w:tc>
        <w:tc>
          <w:tcPr>
            <w:tcW w:w="560" w:type="dxa"/>
          </w:tcPr>
          <w:p w14:paraId="30A8C2F0" w14:textId="77777777" w:rsidR="008E37B2" w:rsidRDefault="008E37B2" w:rsidP="008328E2">
            <w:pPr>
              <w:rPr>
                <w:lang w:val="fr-CA"/>
              </w:rPr>
            </w:pPr>
          </w:p>
        </w:tc>
      </w:tr>
    </w:tbl>
    <w:p w14:paraId="68D6F64D" w14:textId="77777777" w:rsidR="006F019F" w:rsidRDefault="006F019F" w:rsidP="00BE53AE">
      <w:pPr>
        <w:rPr>
          <w:b/>
          <w:bCs/>
          <w:lang w:val="fr-CA"/>
        </w:rPr>
      </w:pPr>
    </w:p>
    <w:p w14:paraId="4EFB7CE4" w14:textId="58875F7F" w:rsidR="00C759AD" w:rsidRPr="00C759AD" w:rsidRDefault="00127941" w:rsidP="00BE53AE">
      <w:pPr>
        <w:rPr>
          <w:b/>
          <w:bCs/>
          <w:lang w:val="fr-CA"/>
        </w:rPr>
      </w:pPr>
      <w:r>
        <w:rPr>
          <w:b/>
          <w:bCs/>
          <w:lang w:val="fr-CA"/>
        </w:rPr>
        <w:t>Interclubs féminins</w:t>
      </w:r>
      <w:r w:rsidR="00C759AD" w:rsidRPr="00C759AD">
        <w:rPr>
          <w:b/>
          <w:bCs/>
          <w:lang w:val="fr-CA"/>
        </w:rPr>
        <w:t xml:space="preserve"> – Suzanne </w:t>
      </w:r>
      <w:r w:rsidR="00C759AD">
        <w:rPr>
          <w:b/>
          <w:bCs/>
          <w:lang w:val="fr-CA"/>
        </w:rPr>
        <w:t>Viens</w:t>
      </w:r>
    </w:p>
    <w:p w14:paraId="5081D026" w14:textId="642325E3" w:rsidR="00B51A8F" w:rsidRPr="00BA66A9" w:rsidRDefault="00B51A8F" w:rsidP="009A267B">
      <w:pPr>
        <w:ind w:left="720"/>
        <w:rPr>
          <w:szCs w:val="22"/>
          <w:lang w:val="fr-CA"/>
        </w:rPr>
      </w:pPr>
    </w:p>
    <w:p w14:paraId="73155E50" w14:textId="2730D290" w:rsidR="00B51A8F" w:rsidRDefault="00B64247" w:rsidP="007758CF">
      <w:pPr>
        <w:rPr>
          <w:szCs w:val="22"/>
          <w:lang w:val="fr-CA"/>
        </w:rPr>
      </w:pPr>
      <w:r>
        <w:rPr>
          <w:szCs w:val="22"/>
          <w:lang w:val="fr-CA"/>
        </w:rPr>
        <w:t xml:space="preserve">Pour </w:t>
      </w:r>
      <w:r w:rsidR="00C759AD">
        <w:rPr>
          <w:szCs w:val="22"/>
          <w:lang w:val="fr-CA"/>
        </w:rPr>
        <w:t>les groupes 2 à 6, les rencontres se sont déroulées le 6 juillet</w:t>
      </w:r>
      <w:r w:rsidR="00C36CAC">
        <w:rPr>
          <w:szCs w:val="22"/>
          <w:lang w:val="fr-CA"/>
        </w:rPr>
        <w:t xml:space="preserve"> et pour le groupe 1 la rencontre s’est déroulée le dimanche 14 juillet. Très bel accueil des clubs hôtes.</w:t>
      </w:r>
    </w:p>
    <w:p w14:paraId="78F79E2C" w14:textId="4E7BF4AC" w:rsidR="008E37B2" w:rsidRDefault="008E37B2" w:rsidP="007758CF">
      <w:pPr>
        <w:rPr>
          <w:szCs w:val="22"/>
          <w:lang w:val="fr-CA"/>
        </w:rPr>
      </w:pPr>
    </w:p>
    <w:p w14:paraId="0466398A" w14:textId="6445DAE0" w:rsidR="008E37B2" w:rsidRPr="008E37B2" w:rsidRDefault="008E37B2" w:rsidP="00B64247">
      <w:pPr>
        <w:jc w:val="center"/>
        <w:rPr>
          <w:b/>
          <w:bCs/>
          <w:szCs w:val="22"/>
          <w:lang w:val="fr-CA"/>
        </w:rPr>
      </w:pPr>
      <w:r w:rsidRPr="008E37B2">
        <w:rPr>
          <w:b/>
          <w:bCs/>
          <w:szCs w:val="22"/>
          <w:lang w:val="fr-CA"/>
        </w:rPr>
        <w:t xml:space="preserve">CLUBS GAGNANTS </w:t>
      </w:r>
      <w:r>
        <w:rPr>
          <w:b/>
          <w:bCs/>
          <w:szCs w:val="22"/>
          <w:lang w:val="fr-CA"/>
        </w:rPr>
        <w:t>POUR LES DIFFÉRENTS GROUPS</w:t>
      </w:r>
    </w:p>
    <w:tbl>
      <w:tblPr>
        <w:tblStyle w:val="TableGrid"/>
        <w:tblW w:w="0" w:type="auto"/>
        <w:tblInd w:w="2907" w:type="dxa"/>
        <w:tblLook w:val="04A0" w:firstRow="1" w:lastRow="0" w:firstColumn="1" w:lastColumn="0" w:noHBand="0" w:noVBand="1"/>
      </w:tblPr>
      <w:tblGrid>
        <w:gridCol w:w="2972"/>
        <w:gridCol w:w="567"/>
      </w:tblGrid>
      <w:tr w:rsidR="008E37B2" w:rsidRPr="00C759AD" w14:paraId="373BA254" w14:textId="77777777" w:rsidTr="00B64247">
        <w:tc>
          <w:tcPr>
            <w:tcW w:w="2972" w:type="dxa"/>
          </w:tcPr>
          <w:p w14:paraId="20F3308D" w14:textId="77777777" w:rsidR="008E37B2" w:rsidRPr="00C759AD" w:rsidRDefault="008E37B2" w:rsidP="00E679FD">
            <w:pPr>
              <w:pStyle w:val="m-2015035128601145263xmsonormal"/>
              <w:rPr>
                <w:rFonts w:ascii="Arial" w:hAnsi="Arial" w:cs="Arial"/>
                <w:sz w:val="21"/>
                <w:szCs w:val="21"/>
                <w:lang w:val="fr-CA"/>
              </w:rPr>
            </w:pPr>
          </w:p>
        </w:tc>
        <w:tc>
          <w:tcPr>
            <w:tcW w:w="567" w:type="dxa"/>
          </w:tcPr>
          <w:p w14:paraId="2C9A51AA" w14:textId="383FE7BC" w:rsidR="008E37B2" w:rsidRPr="008E37B2" w:rsidRDefault="008E37B2" w:rsidP="00E679FD">
            <w:pPr>
              <w:pStyle w:val="m-2015035128601145263xmsonormal"/>
              <w:rPr>
                <w:rFonts w:ascii="Arial" w:hAnsi="Arial" w:cs="Arial"/>
                <w:b/>
                <w:bCs/>
                <w:sz w:val="21"/>
                <w:szCs w:val="21"/>
                <w:lang w:val="fr-CA"/>
              </w:rPr>
            </w:pPr>
            <w:r w:rsidRPr="008E37B2">
              <w:rPr>
                <w:rFonts w:ascii="Arial" w:hAnsi="Arial" w:cs="Arial"/>
                <w:b/>
                <w:bCs/>
                <w:sz w:val="21"/>
                <w:szCs w:val="21"/>
                <w:lang w:val="fr-CA"/>
              </w:rPr>
              <w:t>Pts</w:t>
            </w:r>
          </w:p>
        </w:tc>
      </w:tr>
      <w:tr w:rsidR="008E37B2" w:rsidRPr="00C759AD" w14:paraId="5B421413" w14:textId="0D152A47" w:rsidTr="00B64247">
        <w:tc>
          <w:tcPr>
            <w:tcW w:w="2972" w:type="dxa"/>
          </w:tcPr>
          <w:p w14:paraId="7BD5FC6E" w14:textId="025A87F5" w:rsidR="008E37B2" w:rsidRPr="00C759AD" w:rsidRDefault="008E37B2" w:rsidP="00E679FD">
            <w:pPr>
              <w:pStyle w:val="m-2015035128601145263xmsonormal"/>
              <w:rPr>
                <w:rFonts w:ascii="Arial" w:hAnsi="Arial" w:cs="Arial"/>
                <w:sz w:val="21"/>
                <w:szCs w:val="21"/>
                <w:lang w:val="fr-CA"/>
              </w:rPr>
            </w:pPr>
            <w:r w:rsidRPr="00C759AD">
              <w:rPr>
                <w:rFonts w:ascii="Arial" w:hAnsi="Arial" w:cs="Arial"/>
                <w:sz w:val="21"/>
                <w:szCs w:val="21"/>
                <w:lang w:val="fr-CA"/>
              </w:rPr>
              <w:t>Gr</w:t>
            </w:r>
            <w:r>
              <w:rPr>
                <w:rFonts w:ascii="Arial" w:hAnsi="Arial" w:cs="Arial"/>
                <w:sz w:val="21"/>
                <w:szCs w:val="21"/>
                <w:lang w:val="fr-CA"/>
              </w:rPr>
              <w:t xml:space="preserve"> 1 – Royal Bromont</w:t>
            </w:r>
          </w:p>
        </w:tc>
        <w:tc>
          <w:tcPr>
            <w:tcW w:w="567" w:type="dxa"/>
          </w:tcPr>
          <w:p w14:paraId="0003A496" w14:textId="4215CC0F" w:rsidR="008E37B2" w:rsidRPr="00C759AD" w:rsidRDefault="008E37B2" w:rsidP="00E679FD">
            <w:pPr>
              <w:pStyle w:val="m-2015035128601145263xmsonormal"/>
              <w:rPr>
                <w:rFonts w:ascii="Arial" w:hAnsi="Arial" w:cs="Arial"/>
                <w:sz w:val="21"/>
                <w:szCs w:val="21"/>
                <w:lang w:val="fr-CA"/>
              </w:rPr>
            </w:pPr>
            <w:r>
              <w:rPr>
                <w:rFonts w:ascii="Arial" w:hAnsi="Arial" w:cs="Arial"/>
                <w:sz w:val="21"/>
                <w:szCs w:val="21"/>
                <w:lang w:val="fr-CA"/>
              </w:rPr>
              <w:t>28</w:t>
            </w:r>
          </w:p>
        </w:tc>
      </w:tr>
      <w:tr w:rsidR="008E37B2" w:rsidRPr="00C759AD" w14:paraId="23CB7C36" w14:textId="26CDCA36" w:rsidTr="00B64247">
        <w:tc>
          <w:tcPr>
            <w:tcW w:w="2972" w:type="dxa"/>
          </w:tcPr>
          <w:p w14:paraId="11091085" w14:textId="7D48EFA4" w:rsidR="008E37B2" w:rsidRPr="00C759AD" w:rsidRDefault="008E37B2" w:rsidP="00E679FD">
            <w:pPr>
              <w:pStyle w:val="m-2015035128601145263xmsonormal"/>
              <w:rPr>
                <w:rFonts w:ascii="Arial" w:hAnsi="Arial" w:cs="Arial"/>
                <w:sz w:val="21"/>
                <w:szCs w:val="21"/>
                <w:lang w:val="fr-CA"/>
              </w:rPr>
            </w:pPr>
            <w:r>
              <w:rPr>
                <w:rFonts w:ascii="Arial" w:hAnsi="Arial" w:cs="Arial"/>
                <w:sz w:val="21"/>
                <w:szCs w:val="21"/>
                <w:lang w:val="fr-CA"/>
              </w:rPr>
              <w:t xml:space="preserve">Gr 2 – Milby </w:t>
            </w:r>
          </w:p>
        </w:tc>
        <w:tc>
          <w:tcPr>
            <w:tcW w:w="567" w:type="dxa"/>
          </w:tcPr>
          <w:p w14:paraId="3FD34A8B" w14:textId="59AD4474" w:rsidR="008E37B2" w:rsidRDefault="008E37B2" w:rsidP="00E679FD">
            <w:pPr>
              <w:pStyle w:val="m-2015035128601145263xmsonormal"/>
              <w:rPr>
                <w:rFonts w:ascii="Arial" w:hAnsi="Arial" w:cs="Arial"/>
                <w:sz w:val="21"/>
                <w:szCs w:val="21"/>
                <w:lang w:val="fr-CA"/>
              </w:rPr>
            </w:pPr>
            <w:r>
              <w:rPr>
                <w:rFonts w:ascii="Arial" w:hAnsi="Arial" w:cs="Arial"/>
                <w:sz w:val="21"/>
                <w:szCs w:val="21"/>
                <w:lang w:val="fr-CA"/>
              </w:rPr>
              <w:t>28</w:t>
            </w:r>
          </w:p>
        </w:tc>
      </w:tr>
      <w:tr w:rsidR="008E37B2" w:rsidRPr="00C759AD" w14:paraId="61444310" w14:textId="27DF7E64" w:rsidTr="00B64247">
        <w:tc>
          <w:tcPr>
            <w:tcW w:w="2972" w:type="dxa"/>
          </w:tcPr>
          <w:p w14:paraId="5068D871" w14:textId="5F9279C2" w:rsidR="008E37B2" w:rsidRPr="00C759AD" w:rsidRDefault="008E37B2" w:rsidP="00E679FD">
            <w:pPr>
              <w:pStyle w:val="m-2015035128601145263xmsonormal"/>
              <w:rPr>
                <w:rFonts w:ascii="Arial" w:hAnsi="Arial" w:cs="Arial"/>
                <w:sz w:val="21"/>
                <w:szCs w:val="21"/>
                <w:lang w:val="fr-CA"/>
              </w:rPr>
            </w:pPr>
            <w:r>
              <w:rPr>
                <w:rFonts w:ascii="Arial" w:hAnsi="Arial" w:cs="Arial"/>
                <w:sz w:val="21"/>
                <w:szCs w:val="21"/>
                <w:lang w:val="fr-CA"/>
              </w:rPr>
              <w:t>Gr 3 – St-Césaire</w:t>
            </w:r>
          </w:p>
        </w:tc>
        <w:tc>
          <w:tcPr>
            <w:tcW w:w="567" w:type="dxa"/>
          </w:tcPr>
          <w:p w14:paraId="440093DA" w14:textId="0416EBE0" w:rsidR="008E37B2" w:rsidRDefault="008E37B2" w:rsidP="00E679FD">
            <w:pPr>
              <w:pStyle w:val="m-2015035128601145263xmsonormal"/>
              <w:rPr>
                <w:rFonts w:ascii="Arial" w:hAnsi="Arial" w:cs="Arial"/>
                <w:sz w:val="21"/>
                <w:szCs w:val="21"/>
                <w:lang w:val="fr-CA"/>
              </w:rPr>
            </w:pPr>
            <w:r>
              <w:rPr>
                <w:rFonts w:ascii="Arial" w:hAnsi="Arial" w:cs="Arial"/>
                <w:sz w:val="21"/>
                <w:szCs w:val="21"/>
                <w:lang w:val="fr-CA"/>
              </w:rPr>
              <w:t>26</w:t>
            </w:r>
          </w:p>
        </w:tc>
      </w:tr>
      <w:tr w:rsidR="008E37B2" w:rsidRPr="00C759AD" w14:paraId="7469D2B7" w14:textId="6534DDA5" w:rsidTr="00B64247">
        <w:tc>
          <w:tcPr>
            <w:tcW w:w="2972" w:type="dxa"/>
          </w:tcPr>
          <w:p w14:paraId="12CD98C1" w14:textId="2503D8F0" w:rsidR="008E37B2" w:rsidRPr="00C759AD" w:rsidRDefault="008E37B2" w:rsidP="00E679FD">
            <w:pPr>
              <w:pStyle w:val="m-2015035128601145263xmsonormal"/>
              <w:rPr>
                <w:rFonts w:ascii="Arial" w:hAnsi="Arial" w:cs="Arial"/>
                <w:sz w:val="21"/>
                <w:szCs w:val="21"/>
                <w:lang w:val="fr-CA"/>
              </w:rPr>
            </w:pPr>
            <w:r>
              <w:rPr>
                <w:rFonts w:ascii="Arial" w:hAnsi="Arial" w:cs="Arial"/>
                <w:sz w:val="21"/>
                <w:szCs w:val="21"/>
                <w:lang w:val="fr-CA"/>
              </w:rPr>
              <w:t>Gr 4 – Vieux Village</w:t>
            </w:r>
          </w:p>
        </w:tc>
        <w:tc>
          <w:tcPr>
            <w:tcW w:w="567" w:type="dxa"/>
          </w:tcPr>
          <w:p w14:paraId="3827FFC6" w14:textId="4DFF45F9" w:rsidR="008E37B2" w:rsidRDefault="008E37B2" w:rsidP="00E679FD">
            <w:pPr>
              <w:pStyle w:val="m-2015035128601145263xmsonormal"/>
              <w:rPr>
                <w:rFonts w:ascii="Arial" w:hAnsi="Arial" w:cs="Arial"/>
                <w:sz w:val="21"/>
                <w:szCs w:val="21"/>
                <w:lang w:val="fr-CA"/>
              </w:rPr>
            </w:pPr>
            <w:r>
              <w:rPr>
                <w:rFonts w:ascii="Arial" w:hAnsi="Arial" w:cs="Arial"/>
                <w:sz w:val="21"/>
                <w:szCs w:val="21"/>
                <w:lang w:val="fr-CA"/>
              </w:rPr>
              <w:t>19</w:t>
            </w:r>
          </w:p>
        </w:tc>
      </w:tr>
      <w:tr w:rsidR="008E37B2" w:rsidRPr="00C759AD" w14:paraId="2DE16A9E" w14:textId="718C19EE" w:rsidTr="00B64247">
        <w:tc>
          <w:tcPr>
            <w:tcW w:w="2972" w:type="dxa"/>
          </w:tcPr>
          <w:p w14:paraId="1AC5B5F0" w14:textId="1F23DA6A" w:rsidR="008E37B2" w:rsidRPr="00C759AD" w:rsidRDefault="008E37B2" w:rsidP="00E679FD">
            <w:pPr>
              <w:pStyle w:val="m-2015035128601145263xmsonormal"/>
              <w:rPr>
                <w:rFonts w:ascii="Arial" w:hAnsi="Arial" w:cs="Arial"/>
                <w:sz w:val="21"/>
                <w:szCs w:val="21"/>
                <w:lang w:val="fr-CA"/>
              </w:rPr>
            </w:pPr>
            <w:r>
              <w:rPr>
                <w:rFonts w:ascii="Arial" w:hAnsi="Arial" w:cs="Arial"/>
                <w:sz w:val="21"/>
                <w:szCs w:val="21"/>
                <w:lang w:val="fr-CA"/>
              </w:rPr>
              <w:t>Gr 5 – Cantons (Warwick)</w:t>
            </w:r>
          </w:p>
        </w:tc>
        <w:tc>
          <w:tcPr>
            <w:tcW w:w="567" w:type="dxa"/>
          </w:tcPr>
          <w:p w14:paraId="26CBB8D9" w14:textId="1D19A237" w:rsidR="008E37B2" w:rsidRDefault="008E37B2" w:rsidP="00E679FD">
            <w:pPr>
              <w:pStyle w:val="m-2015035128601145263xmsonormal"/>
              <w:rPr>
                <w:rFonts w:ascii="Arial" w:hAnsi="Arial" w:cs="Arial"/>
                <w:sz w:val="21"/>
                <w:szCs w:val="21"/>
                <w:lang w:val="fr-CA"/>
              </w:rPr>
            </w:pPr>
            <w:r>
              <w:rPr>
                <w:rFonts w:ascii="Arial" w:hAnsi="Arial" w:cs="Arial"/>
                <w:sz w:val="21"/>
                <w:szCs w:val="21"/>
                <w:lang w:val="fr-CA"/>
              </w:rPr>
              <w:t>28</w:t>
            </w:r>
          </w:p>
        </w:tc>
      </w:tr>
    </w:tbl>
    <w:p w14:paraId="38434257" w14:textId="77777777" w:rsidR="006F019F" w:rsidRDefault="006F019F" w:rsidP="006F019F">
      <w:pPr>
        <w:ind w:left="720"/>
        <w:rPr>
          <w:lang w:val="fr-CA"/>
        </w:rPr>
      </w:pPr>
    </w:p>
    <w:p w14:paraId="114A61B7" w14:textId="56DD2FD4" w:rsidR="00C36CAC" w:rsidRDefault="006F019F" w:rsidP="006F019F">
      <w:pPr>
        <w:rPr>
          <w:lang w:val="fr-CA"/>
        </w:rPr>
      </w:pPr>
      <w:r>
        <w:rPr>
          <w:lang w:val="fr-CA"/>
        </w:rPr>
        <w:t>Les résultats complets sont sur le site web de l’Association</w:t>
      </w:r>
      <w:r w:rsidR="00124881">
        <w:rPr>
          <w:lang w:val="fr-CA"/>
        </w:rPr>
        <w:t xml:space="preserve">. </w:t>
      </w:r>
    </w:p>
    <w:p w14:paraId="48B29C90" w14:textId="072D2EFC" w:rsidR="00C36CAC" w:rsidRDefault="00C36CAC" w:rsidP="006F019F">
      <w:pPr>
        <w:rPr>
          <w:lang w:val="fr-CA"/>
        </w:rPr>
      </w:pPr>
    </w:p>
    <w:p w14:paraId="6B7037E3" w14:textId="2BE7EEAD" w:rsidR="00C36CAC" w:rsidRDefault="00C36CAC" w:rsidP="006F019F">
      <w:pPr>
        <w:rPr>
          <w:lang w:val="fr-CA"/>
        </w:rPr>
      </w:pPr>
      <w:r>
        <w:rPr>
          <w:lang w:val="fr-CA"/>
        </w:rPr>
        <w:t>Respectueusement soumis,</w:t>
      </w:r>
    </w:p>
    <w:p w14:paraId="7BBC29F4" w14:textId="7CA25DF0" w:rsidR="00C36CAC" w:rsidRDefault="00C36CAC" w:rsidP="006F019F">
      <w:pPr>
        <w:rPr>
          <w:lang w:val="fr-CA"/>
        </w:rPr>
      </w:pPr>
    </w:p>
    <w:p w14:paraId="7BFABA64" w14:textId="6AAF2167" w:rsidR="00C36CAC" w:rsidRDefault="00C36CAC" w:rsidP="006F019F">
      <w:pPr>
        <w:rPr>
          <w:lang w:val="fr-CA"/>
        </w:rPr>
      </w:pPr>
      <w:r>
        <w:rPr>
          <w:lang w:val="fr-CA"/>
        </w:rPr>
        <w:t>Diane Barabé, présidente ARGCE</w:t>
      </w:r>
    </w:p>
    <w:sectPr w:rsidR="00C36CAC" w:rsidSect="00C9333C">
      <w:headerReference w:type="even" r:id="rId8"/>
      <w:headerReference w:type="default" r:id="rId9"/>
      <w:footerReference w:type="even" r:id="rId10"/>
      <w:footerReference w:type="default" r:id="rId11"/>
      <w:headerReference w:type="first" r:id="rId12"/>
      <w:footerReference w:type="first" r:id="rId13"/>
      <w:pgSz w:w="12240" w:h="15840"/>
      <w:pgMar w:top="852" w:right="1440" w:bottom="101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DEF5" w14:textId="77777777" w:rsidR="00387C35" w:rsidRDefault="00387C35" w:rsidP="00597C90">
      <w:r>
        <w:separator/>
      </w:r>
    </w:p>
  </w:endnote>
  <w:endnote w:type="continuationSeparator" w:id="0">
    <w:p w14:paraId="4239F9A7" w14:textId="77777777" w:rsidR="00387C35" w:rsidRDefault="00387C35" w:rsidP="0059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42">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9652330"/>
      <w:docPartObj>
        <w:docPartGallery w:val="Page Numbers (Bottom of Page)"/>
        <w:docPartUnique/>
      </w:docPartObj>
    </w:sdtPr>
    <w:sdtContent>
      <w:p w14:paraId="1AB50BF4" w14:textId="2DDACB0F" w:rsidR="00597C90" w:rsidRDefault="00597C90" w:rsidP="003502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24881">
          <w:rPr>
            <w:rStyle w:val="PageNumber"/>
            <w:noProof/>
          </w:rPr>
          <w:t>1</w:t>
        </w:r>
        <w:r>
          <w:rPr>
            <w:rStyle w:val="PageNumber"/>
          </w:rPr>
          <w:fldChar w:fldCharType="end"/>
        </w:r>
      </w:p>
    </w:sdtContent>
  </w:sdt>
  <w:p w14:paraId="29396A70" w14:textId="77777777" w:rsidR="00597C90" w:rsidRDefault="00597C90" w:rsidP="00597C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1"/>
      </w:rPr>
      <w:id w:val="2055891814"/>
      <w:docPartObj>
        <w:docPartGallery w:val="Page Numbers (Bottom of Page)"/>
        <w:docPartUnique/>
      </w:docPartObj>
    </w:sdtPr>
    <w:sdtContent>
      <w:p w14:paraId="277C46C7" w14:textId="4769F8C1" w:rsidR="00597C90" w:rsidRPr="00124881" w:rsidRDefault="00597C90" w:rsidP="00124881">
        <w:pPr>
          <w:pStyle w:val="Footer"/>
          <w:framePr w:wrap="none" w:vAnchor="text" w:hAnchor="page" w:x="10412" w:y="48"/>
          <w:rPr>
            <w:rStyle w:val="PageNumber"/>
            <w:sz w:val="20"/>
            <w:szCs w:val="21"/>
          </w:rPr>
        </w:pPr>
        <w:r w:rsidRPr="00124881">
          <w:rPr>
            <w:rStyle w:val="PageNumber"/>
            <w:sz w:val="20"/>
            <w:szCs w:val="21"/>
          </w:rPr>
          <w:fldChar w:fldCharType="begin"/>
        </w:r>
        <w:r w:rsidRPr="00124881">
          <w:rPr>
            <w:rStyle w:val="PageNumber"/>
            <w:sz w:val="20"/>
            <w:szCs w:val="21"/>
          </w:rPr>
          <w:instrText xml:space="preserve"> PAGE </w:instrText>
        </w:r>
        <w:r w:rsidRPr="00124881">
          <w:rPr>
            <w:rStyle w:val="PageNumber"/>
            <w:sz w:val="20"/>
            <w:szCs w:val="21"/>
          </w:rPr>
          <w:fldChar w:fldCharType="separate"/>
        </w:r>
        <w:r w:rsidRPr="00124881">
          <w:rPr>
            <w:rStyle w:val="PageNumber"/>
            <w:noProof/>
            <w:sz w:val="20"/>
            <w:szCs w:val="21"/>
          </w:rPr>
          <w:t>1</w:t>
        </w:r>
        <w:r w:rsidRPr="00124881">
          <w:rPr>
            <w:rStyle w:val="PageNumber"/>
            <w:sz w:val="20"/>
            <w:szCs w:val="21"/>
          </w:rPr>
          <w:fldChar w:fldCharType="end"/>
        </w:r>
      </w:p>
    </w:sdtContent>
  </w:sdt>
  <w:p w14:paraId="50BE16C4" w14:textId="0B8B28A8" w:rsidR="00597C90" w:rsidRPr="00124881" w:rsidRDefault="00124881" w:rsidP="00124881">
    <w:pPr>
      <w:pStyle w:val="Footer"/>
      <w:pBdr>
        <w:top w:val="single" w:sz="4" w:space="1" w:color="auto"/>
      </w:pBdr>
      <w:ind w:right="360"/>
      <w:rPr>
        <w:sz w:val="18"/>
        <w:szCs w:val="20"/>
      </w:rPr>
    </w:pPr>
    <w:r>
      <w:rPr>
        <w:sz w:val="18"/>
        <w:szCs w:val="20"/>
      </w:rPr>
      <w:t>Rapport d</w:t>
    </w:r>
    <w:r w:rsidR="00891ECA">
      <w:rPr>
        <w:sz w:val="18"/>
        <w:szCs w:val="20"/>
      </w:rPr>
      <w:t>’</w:t>
    </w:r>
    <w:r w:rsidRPr="00891ECA">
      <w:rPr>
        <w:sz w:val="18"/>
        <w:szCs w:val="20"/>
        <w:lang w:val="fr-CA"/>
      </w:rPr>
      <w:t>activités</w:t>
    </w:r>
    <w:r>
      <w:rPr>
        <w:sz w:val="18"/>
        <w:szCs w:val="20"/>
      </w:rPr>
      <w:t xml:space="preserve"> ARGCE - 2024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0B13" w14:textId="77777777" w:rsidR="001E7DA5" w:rsidRDefault="001E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F42A" w14:textId="77777777" w:rsidR="00387C35" w:rsidRDefault="00387C35" w:rsidP="00597C90">
      <w:r>
        <w:separator/>
      </w:r>
    </w:p>
  </w:footnote>
  <w:footnote w:type="continuationSeparator" w:id="0">
    <w:p w14:paraId="1DD1A069" w14:textId="77777777" w:rsidR="00387C35" w:rsidRDefault="00387C35" w:rsidP="0059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D215" w14:textId="422FBA9A" w:rsidR="001E7DA5" w:rsidRDefault="001E7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D614" w14:textId="3C167AFE" w:rsidR="001E7DA5" w:rsidRDefault="001E7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B331" w14:textId="032BCBA2" w:rsidR="001E7DA5" w:rsidRDefault="001E7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B6233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D0767"/>
    <w:multiLevelType w:val="hybridMultilevel"/>
    <w:tmpl w:val="3176D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2344DC"/>
    <w:multiLevelType w:val="multilevel"/>
    <w:tmpl w:val="0409001D"/>
    <w:styleLink w:val="BUL1"/>
    <w:lvl w:ilvl="0">
      <w:start w:val="1"/>
      <w:numFmt w:val="bullet"/>
      <w:lvlText w:val="•"/>
      <w:lvlJc w:val="left"/>
      <w:pPr>
        <w:ind w:left="360" w:hanging="360"/>
      </w:pPr>
      <w:rPr>
        <w:rFonts w:ascii="font42" w:hAnsi="font42"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73769E"/>
    <w:multiLevelType w:val="multilevel"/>
    <w:tmpl w:val="DF90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E0518"/>
    <w:multiLevelType w:val="hybridMultilevel"/>
    <w:tmpl w:val="4B5672DE"/>
    <w:lvl w:ilvl="0" w:tplc="51F47798">
      <w:numFmt w:val="bullet"/>
      <w:pStyle w:val="BodyText"/>
      <w:lvlText w:val="•"/>
      <w:lvlJc w:val="left"/>
      <w:pPr>
        <w:ind w:left="2595" w:hanging="360"/>
      </w:pPr>
      <w:rPr>
        <w:rFonts w:ascii="Arial" w:eastAsia="Times New Roman" w:hAnsi="Arial" w:cs="Arial"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5" w15:restartNumberingAfterBreak="0">
    <w:nsid w:val="145540E4"/>
    <w:multiLevelType w:val="multilevel"/>
    <w:tmpl w:val="DAD26020"/>
    <w:styleLink w:val="List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5C3478"/>
    <w:multiLevelType w:val="hybridMultilevel"/>
    <w:tmpl w:val="1E723CDA"/>
    <w:lvl w:ilvl="0" w:tplc="CAB887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4C50"/>
    <w:multiLevelType w:val="multilevel"/>
    <w:tmpl w:val="BFDA829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064188B"/>
    <w:multiLevelType w:val="hybridMultilevel"/>
    <w:tmpl w:val="7CB6E35E"/>
    <w:lvl w:ilvl="0" w:tplc="34621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D09F7"/>
    <w:multiLevelType w:val="hybridMultilevel"/>
    <w:tmpl w:val="14347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DC5FA9"/>
    <w:multiLevelType w:val="hybridMultilevel"/>
    <w:tmpl w:val="311C4BBA"/>
    <w:lvl w:ilvl="0" w:tplc="A53801A6">
      <w:numFmt w:val="bullet"/>
      <w:lvlText w:val="•"/>
      <w:lvlJc w:val="left"/>
      <w:pPr>
        <w:ind w:left="1247" w:hanging="360"/>
      </w:pPr>
      <w:rPr>
        <w:rFonts w:ascii="Arial" w:eastAsia="Times New Roman" w:hAnsi="Arial" w:cs="Aria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11" w15:restartNumberingAfterBreak="0">
    <w:nsid w:val="3EC54A62"/>
    <w:multiLevelType w:val="multilevel"/>
    <w:tmpl w:val="04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1001FF"/>
    <w:multiLevelType w:val="hybridMultilevel"/>
    <w:tmpl w:val="64CAF4BA"/>
    <w:lvl w:ilvl="0" w:tplc="104A4A6E">
      <w:start w:val="1"/>
      <w:numFmt w:val="bullet"/>
      <w:pStyle w:val="NoSpacing"/>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16AE9"/>
    <w:multiLevelType w:val="hybridMultilevel"/>
    <w:tmpl w:val="5C8848DE"/>
    <w:lvl w:ilvl="0" w:tplc="F39657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82D84"/>
    <w:multiLevelType w:val="hybridMultilevel"/>
    <w:tmpl w:val="3B023AE4"/>
    <w:lvl w:ilvl="0" w:tplc="B5E6AC3A">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EC7B06"/>
    <w:multiLevelType w:val="hybridMultilevel"/>
    <w:tmpl w:val="C186CDD6"/>
    <w:lvl w:ilvl="0" w:tplc="51A6D682">
      <w:start w:val="1"/>
      <w:numFmt w:val="bullet"/>
      <w:pStyle w:val="ListParagraph"/>
      <w:lvlText w:val=""/>
      <w:lvlJc w:val="left"/>
      <w:pPr>
        <w:ind w:left="720" w:hanging="360"/>
      </w:pPr>
      <w:rPr>
        <w:rFonts w:ascii="Wingdings 3" w:hAnsi="Wingdings 3" w:hint="default"/>
        <w:sz w:val="18"/>
        <w:szCs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C16F2"/>
    <w:multiLevelType w:val="hybridMultilevel"/>
    <w:tmpl w:val="F4620E92"/>
    <w:lvl w:ilvl="0" w:tplc="94DC22E6">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754938838">
    <w:abstractNumId w:val="0"/>
  </w:num>
  <w:num w:numId="2" w16cid:durableId="116920110">
    <w:abstractNumId w:val="0"/>
  </w:num>
  <w:num w:numId="3" w16cid:durableId="1558205769">
    <w:abstractNumId w:val="14"/>
  </w:num>
  <w:num w:numId="4" w16cid:durableId="1477331066">
    <w:abstractNumId w:val="2"/>
  </w:num>
  <w:num w:numId="5" w16cid:durableId="193157204">
    <w:abstractNumId w:val="8"/>
  </w:num>
  <w:num w:numId="6" w16cid:durableId="588199430">
    <w:abstractNumId w:val="13"/>
  </w:num>
  <w:num w:numId="7" w16cid:durableId="883372472">
    <w:abstractNumId w:val="6"/>
  </w:num>
  <w:num w:numId="8" w16cid:durableId="710543776">
    <w:abstractNumId w:val="7"/>
  </w:num>
  <w:num w:numId="9" w16cid:durableId="435756343">
    <w:abstractNumId w:val="11"/>
  </w:num>
  <w:num w:numId="10" w16cid:durableId="437336403">
    <w:abstractNumId w:val="5"/>
  </w:num>
  <w:num w:numId="11" w16cid:durableId="1323511869">
    <w:abstractNumId w:val="14"/>
  </w:num>
  <w:num w:numId="12" w16cid:durableId="556161951">
    <w:abstractNumId w:val="16"/>
  </w:num>
  <w:num w:numId="13" w16cid:durableId="106698008">
    <w:abstractNumId w:val="4"/>
  </w:num>
  <w:num w:numId="14" w16cid:durableId="871066996">
    <w:abstractNumId w:val="4"/>
  </w:num>
  <w:num w:numId="15" w16cid:durableId="853541724">
    <w:abstractNumId w:val="12"/>
  </w:num>
  <w:num w:numId="16" w16cid:durableId="219632855">
    <w:abstractNumId w:val="10"/>
  </w:num>
  <w:num w:numId="17" w16cid:durableId="1275291018">
    <w:abstractNumId w:val="15"/>
  </w:num>
  <w:num w:numId="18" w16cid:durableId="562373660">
    <w:abstractNumId w:val="3"/>
  </w:num>
  <w:num w:numId="19" w16cid:durableId="1426077563">
    <w:abstractNumId w:val="9"/>
  </w:num>
  <w:num w:numId="20" w16cid:durableId="71103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3B"/>
    <w:rsid w:val="00026A77"/>
    <w:rsid w:val="000711C4"/>
    <w:rsid w:val="000758F0"/>
    <w:rsid w:val="000C22BE"/>
    <w:rsid w:val="000E293B"/>
    <w:rsid w:val="00112A66"/>
    <w:rsid w:val="00124881"/>
    <w:rsid w:val="00127941"/>
    <w:rsid w:val="00151DC8"/>
    <w:rsid w:val="00171D86"/>
    <w:rsid w:val="0018472D"/>
    <w:rsid w:val="001B2982"/>
    <w:rsid w:val="001D3BC9"/>
    <w:rsid w:val="001D7D4C"/>
    <w:rsid w:val="001E7DA5"/>
    <w:rsid w:val="001F0336"/>
    <w:rsid w:val="00205435"/>
    <w:rsid w:val="00227BCC"/>
    <w:rsid w:val="0026489B"/>
    <w:rsid w:val="0027616E"/>
    <w:rsid w:val="002C27CE"/>
    <w:rsid w:val="002F6E37"/>
    <w:rsid w:val="00332F6D"/>
    <w:rsid w:val="0033417F"/>
    <w:rsid w:val="00387C35"/>
    <w:rsid w:val="004444B5"/>
    <w:rsid w:val="00472B44"/>
    <w:rsid w:val="004E3457"/>
    <w:rsid w:val="005274D9"/>
    <w:rsid w:val="0054275A"/>
    <w:rsid w:val="00594474"/>
    <w:rsid w:val="00597C90"/>
    <w:rsid w:val="00637AAF"/>
    <w:rsid w:val="006A1B05"/>
    <w:rsid w:val="006F019F"/>
    <w:rsid w:val="007325F7"/>
    <w:rsid w:val="00747BD1"/>
    <w:rsid w:val="00773969"/>
    <w:rsid w:val="007758CF"/>
    <w:rsid w:val="00776B0B"/>
    <w:rsid w:val="007855A4"/>
    <w:rsid w:val="007D215E"/>
    <w:rsid w:val="00807A63"/>
    <w:rsid w:val="008328E2"/>
    <w:rsid w:val="008775FC"/>
    <w:rsid w:val="00891ECA"/>
    <w:rsid w:val="008E3374"/>
    <w:rsid w:val="008E37B2"/>
    <w:rsid w:val="008E661B"/>
    <w:rsid w:val="008E77EB"/>
    <w:rsid w:val="008F1E47"/>
    <w:rsid w:val="009A267B"/>
    <w:rsid w:val="009B7DCB"/>
    <w:rsid w:val="009C65AB"/>
    <w:rsid w:val="009E127F"/>
    <w:rsid w:val="009F4B4C"/>
    <w:rsid w:val="009F534D"/>
    <w:rsid w:val="00A002CD"/>
    <w:rsid w:val="00A14B62"/>
    <w:rsid w:val="00B2401F"/>
    <w:rsid w:val="00B36A4F"/>
    <w:rsid w:val="00B51A8F"/>
    <w:rsid w:val="00B60856"/>
    <w:rsid w:val="00B64247"/>
    <w:rsid w:val="00B77346"/>
    <w:rsid w:val="00BA66A9"/>
    <w:rsid w:val="00BE1AB3"/>
    <w:rsid w:val="00BE53AE"/>
    <w:rsid w:val="00C36CAC"/>
    <w:rsid w:val="00C759AD"/>
    <w:rsid w:val="00C77C0A"/>
    <w:rsid w:val="00C91F4C"/>
    <w:rsid w:val="00C9333C"/>
    <w:rsid w:val="00CC4A15"/>
    <w:rsid w:val="00CF27B0"/>
    <w:rsid w:val="00D3701A"/>
    <w:rsid w:val="00D5565D"/>
    <w:rsid w:val="00D73411"/>
    <w:rsid w:val="00DE2AD8"/>
    <w:rsid w:val="00E37BE7"/>
    <w:rsid w:val="00E66008"/>
    <w:rsid w:val="00E679FD"/>
    <w:rsid w:val="00E84098"/>
    <w:rsid w:val="00F06EB3"/>
    <w:rsid w:val="00F12CAD"/>
    <w:rsid w:val="00F42F6A"/>
    <w:rsid w:val="00F519C8"/>
    <w:rsid w:val="00F919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ED391"/>
  <w15:chartTrackingRefBased/>
  <w15:docId w15:val="{689E1C80-FC4C-934A-B637-A3737D3C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7B"/>
    <w:rPr>
      <w:rFonts w:ascii="Arial" w:hAnsi="Arial" w:cs="Times New Roman"/>
      <w:sz w:val="22"/>
    </w:rPr>
  </w:style>
  <w:style w:type="paragraph" w:styleId="Heading1">
    <w:name w:val="heading 1"/>
    <w:aliases w:val="Bul2"/>
    <w:basedOn w:val="Normal"/>
    <w:next w:val="Normal"/>
    <w:link w:val="Heading1Char"/>
    <w:uiPriority w:val="9"/>
    <w:qFormat/>
    <w:rsid w:val="00171D86"/>
    <w:pPr>
      <w:keepNext/>
      <w:keepLines/>
      <w:widowControl w:val="0"/>
      <w:numPr>
        <w:numId w:val="8"/>
      </w:numPr>
      <w:ind w:left="697" w:hanging="357"/>
      <w:outlineLvl w:val="0"/>
    </w:pPr>
    <w:rPr>
      <w:rFonts w:eastAsiaTheme="majorEastAsia" w:cstheme="majorBidi"/>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
    <w:autoRedefine/>
    <w:qFormat/>
    <w:rsid w:val="006A1B05"/>
    <w:pPr>
      <w:numPr>
        <w:numId w:val="3"/>
      </w:numPr>
    </w:pPr>
    <w:rPr>
      <w:sz w:val="20"/>
    </w:rPr>
  </w:style>
  <w:style w:type="paragraph" w:styleId="ListBullet">
    <w:name w:val="List Bullet"/>
    <w:basedOn w:val="Normal"/>
    <w:uiPriority w:val="99"/>
    <w:semiHidden/>
    <w:unhideWhenUsed/>
    <w:rsid w:val="00BE1AB3"/>
    <w:pPr>
      <w:numPr>
        <w:numId w:val="2"/>
      </w:numPr>
      <w:contextualSpacing/>
    </w:pPr>
  </w:style>
  <w:style w:type="paragraph" w:styleId="BodyText">
    <w:name w:val="Body Text"/>
    <w:aliases w:val="BULLET"/>
    <w:basedOn w:val="Normal"/>
    <w:link w:val="BodyTextChar"/>
    <w:uiPriority w:val="1"/>
    <w:qFormat/>
    <w:rsid w:val="006A1B05"/>
    <w:pPr>
      <w:widowControl w:val="0"/>
      <w:numPr>
        <w:numId w:val="14"/>
      </w:numPr>
      <w:spacing w:before="120" w:after="120"/>
      <w:ind w:left="527" w:hanging="357"/>
    </w:pPr>
    <w:rPr>
      <w:rFonts w:asciiTheme="minorHAnsi" w:eastAsia="Arial Narrow" w:hAnsiTheme="minorHAnsi" w:cstheme="minorBidi"/>
      <w:szCs w:val="23"/>
      <w:lang w:val="en-US"/>
    </w:rPr>
  </w:style>
  <w:style w:type="character" w:customStyle="1" w:styleId="BodyTextChar">
    <w:name w:val="Body Text Char"/>
    <w:aliases w:val="BULLET Char"/>
    <w:basedOn w:val="DefaultParagraphFont"/>
    <w:link w:val="BodyText"/>
    <w:uiPriority w:val="1"/>
    <w:rsid w:val="006A1B05"/>
    <w:rPr>
      <w:rFonts w:eastAsia="Arial Narrow"/>
      <w:szCs w:val="23"/>
      <w:lang w:val="en-US"/>
    </w:rPr>
  </w:style>
  <w:style w:type="paragraph" w:styleId="ListParagraph">
    <w:name w:val="List Paragraph"/>
    <w:aliases w:val="Bullet"/>
    <w:basedOn w:val="Normal"/>
    <w:uiPriority w:val="34"/>
    <w:qFormat/>
    <w:rsid w:val="00205435"/>
    <w:pPr>
      <w:numPr>
        <w:numId w:val="17"/>
      </w:numPr>
      <w:spacing w:before="120" w:after="160" w:line="259" w:lineRule="auto"/>
      <w:contextualSpacing/>
    </w:pPr>
    <w:rPr>
      <w:rFonts w:asciiTheme="minorHAnsi" w:eastAsiaTheme="minorEastAsia" w:hAnsiTheme="minorHAnsi" w:cstheme="minorBidi"/>
      <w:szCs w:val="22"/>
      <w:lang w:val="en-GB" w:eastAsia="ja-JP"/>
    </w:rPr>
  </w:style>
  <w:style w:type="paragraph" w:styleId="List">
    <w:name w:val="List"/>
    <w:basedOn w:val="Normal"/>
    <w:uiPriority w:val="99"/>
    <w:semiHidden/>
    <w:unhideWhenUsed/>
    <w:rsid w:val="00E66008"/>
    <w:pPr>
      <w:ind w:left="283" w:hanging="283"/>
      <w:contextualSpacing/>
    </w:pPr>
  </w:style>
  <w:style w:type="numbering" w:customStyle="1" w:styleId="BUL1">
    <w:name w:val="BUL1"/>
    <w:basedOn w:val="NoList"/>
    <w:uiPriority w:val="99"/>
    <w:rsid w:val="009F534D"/>
    <w:pPr>
      <w:numPr>
        <w:numId w:val="4"/>
      </w:numPr>
    </w:pPr>
  </w:style>
  <w:style w:type="paragraph" w:styleId="NoSpacing">
    <w:name w:val="No Spacing"/>
    <w:aliases w:val="Bullet2"/>
    <w:basedOn w:val="Normal"/>
    <w:next w:val="Normal"/>
    <w:uiPriority w:val="1"/>
    <w:qFormat/>
    <w:rsid w:val="006A1B05"/>
    <w:pPr>
      <w:numPr>
        <w:numId w:val="15"/>
      </w:numPr>
      <w:spacing w:before="120" w:after="120" w:line="720" w:lineRule="auto"/>
    </w:pPr>
    <w:rPr>
      <w:rFonts w:asciiTheme="minorHAnsi" w:eastAsiaTheme="minorHAnsi" w:hAnsiTheme="minorHAnsi" w:cstheme="minorBidi"/>
      <w:szCs w:val="22"/>
      <w:lang w:val="en-GB"/>
    </w:rPr>
  </w:style>
  <w:style w:type="character" w:customStyle="1" w:styleId="Heading1Char">
    <w:name w:val="Heading 1 Char"/>
    <w:aliases w:val="Bul2 Char"/>
    <w:basedOn w:val="DefaultParagraphFont"/>
    <w:link w:val="Heading1"/>
    <w:uiPriority w:val="9"/>
    <w:rsid w:val="00171D86"/>
    <w:rPr>
      <w:rFonts w:eastAsiaTheme="majorEastAsia" w:cstheme="majorBidi"/>
      <w:color w:val="000000" w:themeColor="text1"/>
      <w:sz w:val="22"/>
      <w:szCs w:val="32"/>
    </w:rPr>
  </w:style>
  <w:style w:type="paragraph" w:styleId="List2">
    <w:name w:val="List 2"/>
    <w:basedOn w:val="Normal"/>
    <w:uiPriority w:val="99"/>
    <w:semiHidden/>
    <w:unhideWhenUsed/>
    <w:rsid w:val="009F534D"/>
    <w:pPr>
      <w:ind w:left="566" w:hanging="283"/>
      <w:contextualSpacing/>
    </w:pPr>
  </w:style>
  <w:style w:type="numbering" w:customStyle="1" w:styleId="Style1">
    <w:name w:val="Style1"/>
    <w:uiPriority w:val="99"/>
    <w:rsid w:val="009B7DCB"/>
    <w:pPr>
      <w:numPr>
        <w:numId w:val="9"/>
      </w:numPr>
    </w:pPr>
  </w:style>
  <w:style w:type="numbering" w:customStyle="1" w:styleId="List21">
    <w:name w:val="List 21"/>
    <w:basedOn w:val="NoList"/>
    <w:uiPriority w:val="99"/>
    <w:rsid w:val="009B7DCB"/>
    <w:pPr>
      <w:numPr>
        <w:numId w:val="10"/>
      </w:numPr>
    </w:pPr>
  </w:style>
  <w:style w:type="character" w:styleId="Strong">
    <w:name w:val="Strong"/>
    <w:basedOn w:val="DefaultParagraphFont"/>
    <w:uiPriority w:val="22"/>
    <w:qFormat/>
    <w:rsid w:val="004444B5"/>
    <w:rPr>
      <w:b/>
      <w:bCs/>
      <w:sz w:val="28"/>
    </w:rPr>
  </w:style>
  <w:style w:type="paragraph" w:styleId="Title">
    <w:name w:val="Title"/>
    <w:basedOn w:val="Normal"/>
    <w:next w:val="Normal"/>
    <w:link w:val="TitleChar"/>
    <w:uiPriority w:val="10"/>
    <w:qFormat/>
    <w:rsid w:val="000E29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93B"/>
    <w:rPr>
      <w:rFonts w:asciiTheme="majorHAnsi" w:eastAsiaTheme="majorEastAsia" w:hAnsiTheme="majorHAnsi" w:cstheme="majorBidi"/>
      <w:spacing w:val="-10"/>
      <w:kern w:val="28"/>
      <w:sz w:val="56"/>
      <w:szCs w:val="56"/>
    </w:rPr>
  </w:style>
  <w:style w:type="paragraph" w:customStyle="1" w:styleId="m-2015035128601145263xmsonormal">
    <w:name w:val="m_-2015035128601145263xmsonormal"/>
    <w:basedOn w:val="Normal"/>
    <w:rsid w:val="00E679FD"/>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E679FD"/>
    <w:rPr>
      <w:color w:val="0000FF"/>
      <w:u w:val="single"/>
    </w:rPr>
  </w:style>
  <w:style w:type="paragraph" w:styleId="Footer">
    <w:name w:val="footer"/>
    <w:basedOn w:val="Normal"/>
    <w:link w:val="FooterChar"/>
    <w:uiPriority w:val="99"/>
    <w:unhideWhenUsed/>
    <w:rsid w:val="00597C90"/>
    <w:pPr>
      <w:tabs>
        <w:tab w:val="center" w:pos="4680"/>
        <w:tab w:val="right" w:pos="9360"/>
      </w:tabs>
    </w:pPr>
  </w:style>
  <w:style w:type="character" w:customStyle="1" w:styleId="FooterChar">
    <w:name w:val="Footer Char"/>
    <w:basedOn w:val="DefaultParagraphFont"/>
    <w:link w:val="Footer"/>
    <w:uiPriority w:val="99"/>
    <w:rsid w:val="00597C90"/>
    <w:rPr>
      <w:rFonts w:ascii="Arial" w:hAnsi="Arial" w:cs="Times New Roman"/>
      <w:sz w:val="22"/>
    </w:rPr>
  </w:style>
  <w:style w:type="character" w:styleId="PageNumber">
    <w:name w:val="page number"/>
    <w:basedOn w:val="DefaultParagraphFont"/>
    <w:uiPriority w:val="99"/>
    <w:semiHidden/>
    <w:unhideWhenUsed/>
    <w:rsid w:val="00597C90"/>
  </w:style>
  <w:style w:type="table" w:styleId="TableGrid">
    <w:name w:val="Table Grid"/>
    <w:basedOn w:val="TableNormal"/>
    <w:uiPriority w:val="39"/>
    <w:rsid w:val="00832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881"/>
    <w:pPr>
      <w:tabs>
        <w:tab w:val="center" w:pos="4680"/>
        <w:tab w:val="right" w:pos="9360"/>
      </w:tabs>
    </w:pPr>
  </w:style>
  <w:style w:type="character" w:customStyle="1" w:styleId="HeaderChar">
    <w:name w:val="Header Char"/>
    <w:basedOn w:val="DefaultParagraphFont"/>
    <w:link w:val="Header"/>
    <w:uiPriority w:val="99"/>
    <w:rsid w:val="00124881"/>
    <w:rPr>
      <w:rFonts w:ascii="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2048">
      <w:bodyDiv w:val="1"/>
      <w:marLeft w:val="0"/>
      <w:marRight w:val="0"/>
      <w:marTop w:val="0"/>
      <w:marBottom w:val="0"/>
      <w:divBdr>
        <w:top w:val="none" w:sz="0" w:space="0" w:color="auto"/>
        <w:left w:val="none" w:sz="0" w:space="0" w:color="auto"/>
        <w:bottom w:val="none" w:sz="0" w:space="0" w:color="auto"/>
        <w:right w:val="none" w:sz="0" w:space="0" w:color="auto"/>
      </w:divBdr>
    </w:div>
    <w:div w:id="675114502">
      <w:bodyDiv w:val="1"/>
      <w:marLeft w:val="0"/>
      <w:marRight w:val="0"/>
      <w:marTop w:val="0"/>
      <w:marBottom w:val="0"/>
      <w:divBdr>
        <w:top w:val="none" w:sz="0" w:space="0" w:color="auto"/>
        <w:left w:val="none" w:sz="0" w:space="0" w:color="auto"/>
        <w:bottom w:val="none" w:sz="0" w:space="0" w:color="auto"/>
        <w:right w:val="none" w:sz="0" w:space="0" w:color="auto"/>
      </w:divBdr>
      <w:divsChild>
        <w:div w:id="2138990461">
          <w:marLeft w:val="0"/>
          <w:marRight w:val="0"/>
          <w:marTop w:val="0"/>
          <w:marBottom w:val="0"/>
          <w:divBdr>
            <w:top w:val="none" w:sz="0" w:space="0" w:color="auto"/>
            <w:left w:val="none" w:sz="0" w:space="0" w:color="auto"/>
            <w:bottom w:val="none" w:sz="0" w:space="0" w:color="auto"/>
            <w:right w:val="none" w:sz="0" w:space="0" w:color="auto"/>
          </w:divBdr>
        </w:div>
        <w:div w:id="1013921927">
          <w:marLeft w:val="0"/>
          <w:marRight w:val="0"/>
          <w:marTop w:val="0"/>
          <w:marBottom w:val="0"/>
          <w:divBdr>
            <w:top w:val="none" w:sz="0" w:space="0" w:color="auto"/>
            <w:left w:val="none" w:sz="0" w:space="0" w:color="auto"/>
            <w:bottom w:val="none" w:sz="0" w:space="0" w:color="auto"/>
            <w:right w:val="none" w:sz="0" w:space="0" w:color="auto"/>
          </w:divBdr>
        </w:div>
      </w:divsChild>
    </w:div>
    <w:div w:id="957370682">
      <w:bodyDiv w:val="1"/>
      <w:marLeft w:val="0"/>
      <w:marRight w:val="0"/>
      <w:marTop w:val="0"/>
      <w:marBottom w:val="0"/>
      <w:divBdr>
        <w:top w:val="none" w:sz="0" w:space="0" w:color="auto"/>
        <w:left w:val="none" w:sz="0" w:space="0" w:color="auto"/>
        <w:bottom w:val="none" w:sz="0" w:space="0" w:color="auto"/>
        <w:right w:val="none" w:sz="0" w:space="0" w:color="auto"/>
      </w:divBdr>
      <w:divsChild>
        <w:div w:id="1254125268">
          <w:marLeft w:val="0"/>
          <w:marRight w:val="0"/>
          <w:marTop w:val="0"/>
          <w:marBottom w:val="0"/>
          <w:divBdr>
            <w:top w:val="none" w:sz="0" w:space="0" w:color="auto"/>
            <w:left w:val="none" w:sz="0" w:space="0" w:color="auto"/>
            <w:bottom w:val="none" w:sz="0" w:space="0" w:color="auto"/>
            <w:right w:val="none" w:sz="0" w:space="0" w:color="auto"/>
          </w:divBdr>
        </w:div>
        <w:div w:id="1848523812">
          <w:marLeft w:val="0"/>
          <w:marRight w:val="0"/>
          <w:marTop w:val="0"/>
          <w:marBottom w:val="0"/>
          <w:divBdr>
            <w:top w:val="none" w:sz="0" w:space="0" w:color="auto"/>
            <w:left w:val="none" w:sz="0" w:space="0" w:color="auto"/>
            <w:bottom w:val="none" w:sz="0" w:space="0" w:color="auto"/>
            <w:right w:val="none" w:sz="0" w:space="0" w:color="auto"/>
          </w:divBdr>
        </w:div>
      </w:divsChild>
    </w:div>
    <w:div w:id="1778985886">
      <w:bodyDiv w:val="1"/>
      <w:marLeft w:val="0"/>
      <w:marRight w:val="0"/>
      <w:marTop w:val="0"/>
      <w:marBottom w:val="0"/>
      <w:divBdr>
        <w:top w:val="none" w:sz="0" w:space="0" w:color="auto"/>
        <w:left w:val="none" w:sz="0" w:space="0" w:color="auto"/>
        <w:bottom w:val="none" w:sz="0" w:space="0" w:color="auto"/>
        <w:right w:val="none" w:sz="0" w:space="0" w:color="auto"/>
      </w:divBdr>
      <w:divsChild>
        <w:div w:id="1158691628">
          <w:marLeft w:val="0"/>
          <w:marRight w:val="0"/>
          <w:marTop w:val="0"/>
          <w:marBottom w:val="0"/>
          <w:divBdr>
            <w:top w:val="none" w:sz="0" w:space="0" w:color="auto"/>
            <w:left w:val="none" w:sz="0" w:space="0" w:color="auto"/>
            <w:bottom w:val="none" w:sz="0" w:space="0" w:color="auto"/>
            <w:right w:val="none" w:sz="0" w:space="0" w:color="auto"/>
          </w:divBdr>
          <w:divsChild>
            <w:div w:id="728840251">
              <w:marLeft w:val="0"/>
              <w:marRight w:val="0"/>
              <w:marTop w:val="0"/>
              <w:marBottom w:val="0"/>
              <w:divBdr>
                <w:top w:val="none" w:sz="0" w:space="0" w:color="auto"/>
                <w:left w:val="none" w:sz="0" w:space="0" w:color="auto"/>
                <w:bottom w:val="none" w:sz="0" w:space="0" w:color="auto"/>
                <w:right w:val="none" w:sz="0" w:space="0" w:color="auto"/>
              </w:divBdr>
              <w:divsChild>
                <w:div w:id="68914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90454">
          <w:marLeft w:val="0"/>
          <w:marRight w:val="0"/>
          <w:marTop w:val="0"/>
          <w:marBottom w:val="0"/>
          <w:divBdr>
            <w:top w:val="none" w:sz="0" w:space="0" w:color="auto"/>
            <w:left w:val="none" w:sz="0" w:space="0" w:color="auto"/>
            <w:bottom w:val="none" w:sz="0" w:space="0" w:color="auto"/>
            <w:right w:val="none" w:sz="0" w:space="0" w:color="auto"/>
          </w:divBdr>
          <w:divsChild>
            <w:div w:id="1699046761">
              <w:marLeft w:val="0"/>
              <w:marRight w:val="0"/>
              <w:marTop w:val="0"/>
              <w:marBottom w:val="0"/>
              <w:divBdr>
                <w:top w:val="none" w:sz="0" w:space="0" w:color="auto"/>
                <w:left w:val="none" w:sz="0" w:space="0" w:color="auto"/>
                <w:bottom w:val="none" w:sz="0" w:space="0" w:color="auto"/>
                <w:right w:val="none" w:sz="0" w:space="0" w:color="auto"/>
              </w:divBdr>
              <w:divsChild>
                <w:div w:id="15266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08154">
      <w:bodyDiv w:val="1"/>
      <w:marLeft w:val="0"/>
      <w:marRight w:val="0"/>
      <w:marTop w:val="0"/>
      <w:marBottom w:val="0"/>
      <w:divBdr>
        <w:top w:val="none" w:sz="0" w:space="0" w:color="auto"/>
        <w:left w:val="none" w:sz="0" w:space="0" w:color="auto"/>
        <w:bottom w:val="none" w:sz="0" w:space="0" w:color="auto"/>
        <w:right w:val="none" w:sz="0" w:space="0" w:color="auto"/>
      </w:divBdr>
      <w:divsChild>
        <w:div w:id="650673888">
          <w:marLeft w:val="0"/>
          <w:marRight w:val="0"/>
          <w:marTop w:val="0"/>
          <w:marBottom w:val="0"/>
          <w:divBdr>
            <w:top w:val="none" w:sz="0" w:space="0" w:color="auto"/>
            <w:left w:val="none" w:sz="0" w:space="0" w:color="auto"/>
            <w:bottom w:val="none" w:sz="0" w:space="0" w:color="auto"/>
            <w:right w:val="none" w:sz="0" w:space="0" w:color="auto"/>
          </w:divBdr>
          <w:divsChild>
            <w:div w:id="1918712003">
              <w:marLeft w:val="0"/>
              <w:marRight w:val="0"/>
              <w:marTop w:val="0"/>
              <w:marBottom w:val="0"/>
              <w:divBdr>
                <w:top w:val="none" w:sz="0" w:space="0" w:color="auto"/>
                <w:left w:val="none" w:sz="0" w:space="0" w:color="auto"/>
                <w:bottom w:val="none" w:sz="0" w:space="0" w:color="auto"/>
                <w:right w:val="none" w:sz="0" w:space="0" w:color="auto"/>
              </w:divBdr>
              <w:divsChild>
                <w:div w:id="2061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152">
          <w:marLeft w:val="0"/>
          <w:marRight w:val="0"/>
          <w:marTop w:val="0"/>
          <w:marBottom w:val="0"/>
          <w:divBdr>
            <w:top w:val="none" w:sz="0" w:space="0" w:color="auto"/>
            <w:left w:val="none" w:sz="0" w:space="0" w:color="auto"/>
            <w:bottom w:val="none" w:sz="0" w:space="0" w:color="auto"/>
            <w:right w:val="none" w:sz="0" w:space="0" w:color="auto"/>
          </w:divBdr>
          <w:divsChild>
            <w:div w:id="1956132473">
              <w:marLeft w:val="0"/>
              <w:marRight w:val="0"/>
              <w:marTop w:val="0"/>
              <w:marBottom w:val="0"/>
              <w:divBdr>
                <w:top w:val="none" w:sz="0" w:space="0" w:color="auto"/>
                <w:left w:val="none" w:sz="0" w:space="0" w:color="auto"/>
                <w:bottom w:val="none" w:sz="0" w:space="0" w:color="auto"/>
                <w:right w:val="none" w:sz="0" w:space="0" w:color="auto"/>
              </w:divBdr>
              <w:divsChild>
                <w:div w:id="7392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87Q0VtbASsU&amp;list=PL-6lJXYj8hjTkSPFem5jivb-HQXRRbii1&amp;index=19&amp;t=29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3</Pages>
  <Words>1489</Words>
  <Characters>6926</Characters>
  <Application>Microsoft Office Word</Application>
  <DocSecurity>0</DocSecurity>
  <Lines>173</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BARABÉ</dc:creator>
  <cp:keywords/>
  <dc:description/>
  <cp:lastModifiedBy>smrules</cp:lastModifiedBy>
  <cp:revision>13</cp:revision>
  <cp:lastPrinted>2025-04-03T22:51:00Z</cp:lastPrinted>
  <dcterms:created xsi:type="dcterms:W3CDTF">2025-03-17T18:01:00Z</dcterms:created>
  <dcterms:modified xsi:type="dcterms:W3CDTF">2025-04-03T22:58:00Z</dcterms:modified>
  <cp:category/>
</cp:coreProperties>
</file>